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EF32" w14:textId="77777777" w:rsidR="00ED27FB" w:rsidRPr="00E74F32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kern w:val="0"/>
          <w:sz w:val="29"/>
          <w:szCs w:val="29"/>
        </w:rPr>
      </w:pPr>
      <w:r w:rsidRPr="00E74F32">
        <w:rPr>
          <w:rFonts w:ascii="Arial" w:hAnsi="Arial" w:cs="Arial"/>
          <w:b/>
          <w:bCs/>
          <w:kern w:val="0"/>
          <w:sz w:val="29"/>
          <w:szCs w:val="29"/>
        </w:rPr>
        <w:t>Local Councils Insurance</w:t>
      </w:r>
    </w:p>
    <w:p w14:paraId="5F30E2B8" w14:textId="77777777" w:rsidR="00ED27FB" w:rsidRPr="00E74F32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kern w:val="0"/>
          <w:sz w:val="29"/>
          <w:szCs w:val="29"/>
        </w:rPr>
      </w:pPr>
      <w:r w:rsidRPr="00E74F32">
        <w:rPr>
          <w:rFonts w:ascii="Arial" w:hAnsi="Arial" w:cs="Arial"/>
          <w:b/>
          <w:bCs/>
          <w:kern w:val="0"/>
          <w:sz w:val="29"/>
          <w:szCs w:val="29"/>
        </w:rPr>
        <w:t>Special Events &amp; Activities Guidelines</w:t>
      </w:r>
    </w:p>
    <w:p w14:paraId="4E889289" w14:textId="77777777" w:rsidR="00E9013F" w:rsidRPr="00E74F32" w:rsidRDefault="00E9013F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kern w:val="0"/>
          <w:sz w:val="29"/>
          <w:szCs w:val="29"/>
        </w:rPr>
      </w:pPr>
    </w:p>
    <w:p w14:paraId="5683C7C6" w14:textId="17046F70" w:rsidR="00E9013F" w:rsidRPr="00E74F32" w:rsidRDefault="00B12D6C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E74F32">
        <w:rPr>
          <w:rFonts w:ascii="Arial" w:hAnsi="Arial" w:cs="Arial"/>
          <w:kern w:val="0"/>
          <w:sz w:val="24"/>
          <w:szCs w:val="24"/>
        </w:rPr>
        <w:t>I bring your attention to a couple of specific points within the insurance policy which you may want to consider</w:t>
      </w:r>
      <w:r w:rsidR="00BB0A29" w:rsidRPr="00E74F32">
        <w:rPr>
          <w:rFonts w:ascii="Arial" w:hAnsi="Arial" w:cs="Arial"/>
          <w:kern w:val="0"/>
          <w:sz w:val="24"/>
          <w:szCs w:val="24"/>
        </w:rPr>
        <w:t>, covering play equipment</w:t>
      </w:r>
      <w:r w:rsidR="00E74F32" w:rsidRPr="00E74F32">
        <w:rPr>
          <w:rFonts w:ascii="Arial" w:hAnsi="Arial" w:cs="Arial"/>
          <w:kern w:val="0"/>
          <w:sz w:val="24"/>
          <w:szCs w:val="24"/>
        </w:rPr>
        <w:t>, the Christmas tree</w:t>
      </w:r>
      <w:r w:rsidR="00BB0A29" w:rsidRPr="00E74F32">
        <w:rPr>
          <w:rFonts w:ascii="Arial" w:hAnsi="Arial" w:cs="Arial"/>
          <w:kern w:val="0"/>
          <w:sz w:val="24"/>
          <w:szCs w:val="24"/>
        </w:rPr>
        <w:t xml:space="preserve"> and The Pavilion.</w:t>
      </w:r>
    </w:p>
    <w:p w14:paraId="6BE2F031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-Bold" w:hAnsi="Calibri-Bold" w:cs="Calibri-Bold"/>
          <w:b/>
          <w:bCs/>
          <w:kern w:val="0"/>
          <w:sz w:val="29"/>
          <w:szCs w:val="29"/>
        </w:rPr>
      </w:pPr>
    </w:p>
    <w:p w14:paraId="1BC0CDDE" w14:textId="71768BED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 w:rsidRPr="00ED27FB">
        <w:rPr>
          <w:rFonts w:ascii="Calibri" w:hAnsi="Calibri" w:cs="Calibri"/>
          <w:b/>
          <w:bCs/>
          <w:kern w:val="0"/>
          <w:sz w:val="23"/>
          <w:szCs w:val="23"/>
        </w:rPr>
        <w:t>Playgrounds</w:t>
      </w:r>
    </w:p>
    <w:p w14:paraId="42BB22F4" w14:textId="4EA68FFF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In respect of all playground equipment and other amusement devises the Insured must</w:t>
      </w:r>
    </w:p>
    <w:p w14:paraId="2038C502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a) </w:t>
      </w:r>
      <w:commentRangeStart w:id="0"/>
      <w:r>
        <w:rPr>
          <w:rFonts w:ascii="Calibri" w:hAnsi="Calibri" w:cs="Calibri"/>
          <w:kern w:val="0"/>
          <w:sz w:val="23"/>
          <w:szCs w:val="23"/>
        </w:rPr>
        <w:t xml:space="preserve">Inspect all playground and amusement devises at least every seven days. </w:t>
      </w:r>
      <w:commentRangeEnd w:id="0"/>
      <w:r w:rsidR="00AD25AD">
        <w:rPr>
          <w:rStyle w:val="CommentReference"/>
        </w:rPr>
        <w:commentReference w:id="0"/>
      </w:r>
      <w:r>
        <w:rPr>
          <w:rFonts w:ascii="Calibri" w:hAnsi="Calibri" w:cs="Calibri"/>
          <w:kern w:val="0"/>
          <w:sz w:val="23"/>
          <w:szCs w:val="23"/>
        </w:rPr>
        <w:t>Any damage or</w:t>
      </w:r>
    </w:p>
    <w:p w14:paraId="3CEA9373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defect must be rectified as soon as possible. Defective equipment which is a risk to health and</w:t>
      </w:r>
    </w:p>
    <w:p w14:paraId="0E2785B0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safety must be taken out of use immediately and repaired as soon as possible.</w:t>
      </w:r>
    </w:p>
    <w:p w14:paraId="1D405B6D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b) </w:t>
      </w:r>
      <w:commentRangeStart w:id="1"/>
      <w:r>
        <w:rPr>
          <w:rFonts w:ascii="Calibri" w:hAnsi="Calibri" w:cs="Calibri"/>
          <w:kern w:val="0"/>
          <w:sz w:val="23"/>
          <w:szCs w:val="23"/>
        </w:rPr>
        <w:t>Erect suitable signs detailing any information that is necessary for the safe use of the</w:t>
      </w:r>
    </w:p>
    <w:p w14:paraId="490017B3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equipment device or facility and clearly stating any restrictions on its use.</w:t>
      </w:r>
      <w:commentRangeEnd w:id="1"/>
      <w:r w:rsidR="00F45C0B">
        <w:rPr>
          <w:rStyle w:val="CommentReference"/>
        </w:rPr>
        <w:commentReference w:id="1"/>
      </w:r>
    </w:p>
    <w:p w14:paraId="239A0339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c) Determine where supervision is necessary and ensure that it is provided whenever the play</w:t>
      </w:r>
    </w:p>
    <w:p w14:paraId="427BEEDF" w14:textId="667A6956" w:rsidR="00736C9C" w:rsidRDefault="00ED27FB" w:rsidP="00ED27FB">
      <w:pPr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equipment device or facilities are in use</w:t>
      </w:r>
    </w:p>
    <w:p w14:paraId="75D3665D" w14:textId="77777777" w:rsidR="00ED27FB" w:rsidRDefault="00ED27FB" w:rsidP="00ED27FB">
      <w:pPr>
        <w:rPr>
          <w:rFonts w:ascii="Calibri" w:hAnsi="Calibri" w:cs="Calibri"/>
          <w:kern w:val="0"/>
          <w:sz w:val="23"/>
          <w:szCs w:val="23"/>
        </w:rPr>
      </w:pPr>
    </w:p>
    <w:p w14:paraId="2A7C9A4A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Christmas Trees and Lights</w:t>
      </w:r>
    </w:p>
    <w:p w14:paraId="0937E054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commentRangeStart w:id="2"/>
      <w:r>
        <w:rPr>
          <w:rFonts w:ascii="Calibri" w:hAnsi="Calibri" w:cs="Calibri"/>
          <w:kern w:val="0"/>
          <w:sz w:val="23"/>
          <w:szCs w:val="23"/>
        </w:rPr>
        <w:t>The tree is to be erected by a competent person</w:t>
      </w:r>
    </w:p>
    <w:p w14:paraId="3FA5A905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a) Electrical devices to be connected to mains supply by a qualified electrician with their own</w:t>
      </w:r>
    </w:p>
    <w:p w14:paraId="5151E8A0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Public Liability Insurance</w:t>
      </w:r>
    </w:p>
    <w:p w14:paraId="4E562AB9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b) If the tree is erected on land not owned by the Policyholder, the landowner concerned must</w:t>
      </w:r>
    </w:p>
    <w:p w14:paraId="5AB1EAEC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have their own Public Liability Insurance</w:t>
      </w:r>
    </w:p>
    <w:p w14:paraId="1EDC1CF2" w14:textId="768E5944" w:rsidR="00ED27FB" w:rsidRDefault="00ED27FB" w:rsidP="00ED27FB">
      <w:pPr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c) The tree must be regularly inspected especially in cases of bad weather</w:t>
      </w:r>
      <w:commentRangeEnd w:id="2"/>
      <w:r w:rsidR="007F118B">
        <w:rPr>
          <w:rStyle w:val="CommentReference"/>
        </w:rPr>
        <w:commentReference w:id="2"/>
      </w:r>
    </w:p>
    <w:p w14:paraId="131469FB" w14:textId="77777777" w:rsidR="00ED27FB" w:rsidRDefault="00ED27FB" w:rsidP="00ED27FB">
      <w:pPr>
        <w:rPr>
          <w:rFonts w:ascii="Calibri" w:hAnsi="Calibri" w:cs="Calibri"/>
          <w:kern w:val="0"/>
          <w:sz w:val="23"/>
          <w:szCs w:val="23"/>
        </w:rPr>
      </w:pPr>
    </w:p>
    <w:p w14:paraId="57546C04" w14:textId="18FC8404" w:rsidR="00ED27FB" w:rsidRPr="00ED27FB" w:rsidRDefault="00ED27FB" w:rsidP="00ED27FB">
      <w:pPr>
        <w:rPr>
          <w:rFonts w:ascii="Calibri" w:hAnsi="Calibri" w:cs="Calibri"/>
          <w:b/>
          <w:bCs/>
          <w:kern w:val="0"/>
          <w:sz w:val="23"/>
          <w:szCs w:val="23"/>
        </w:rPr>
      </w:pPr>
      <w:r w:rsidRPr="00ED27FB">
        <w:rPr>
          <w:rFonts w:ascii="Calibri" w:hAnsi="Calibri" w:cs="Calibri"/>
          <w:b/>
          <w:bCs/>
          <w:kern w:val="0"/>
          <w:sz w:val="23"/>
          <w:szCs w:val="23"/>
        </w:rPr>
        <w:t>Property damage – significant exclusions</w:t>
      </w:r>
    </w:p>
    <w:p w14:paraId="43D18349" w14:textId="77777777" w:rsidR="00ED27FB" w:rsidRDefault="00ED27FB" w:rsidP="00ED27FB">
      <w:pPr>
        <w:rPr>
          <w:rFonts w:ascii="Calibri" w:hAnsi="Calibri" w:cs="Calibri"/>
          <w:kern w:val="0"/>
          <w:sz w:val="23"/>
          <w:szCs w:val="23"/>
        </w:rPr>
      </w:pPr>
    </w:p>
    <w:p w14:paraId="772F691E" w14:textId="47A7272B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333333"/>
          <w:kern w:val="0"/>
          <w:sz w:val="18"/>
          <w:szCs w:val="18"/>
        </w:rPr>
      </w:pPr>
      <w:commentRangeStart w:id="3"/>
      <w:r>
        <w:rPr>
          <w:rFonts w:ascii="ArialMT" w:hAnsi="ArialMT" w:cs="ArialMT"/>
          <w:color w:val="333333"/>
          <w:kern w:val="0"/>
          <w:sz w:val="18"/>
          <w:szCs w:val="18"/>
        </w:rPr>
        <w:t>freezing, escape of water or damage</w:t>
      </w:r>
    </w:p>
    <w:p w14:paraId="70E0A692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333333"/>
          <w:kern w:val="0"/>
          <w:sz w:val="18"/>
          <w:szCs w:val="18"/>
        </w:rPr>
      </w:pPr>
      <w:r>
        <w:rPr>
          <w:rFonts w:ascii="ArialMT" w:hAnsi="ArialMT" w:cs="ArialMT"/>
          <w:color w:val="333333"/>
          <w:kern w:val="0"/>
          <w:sz w:val="18"/>
          <w:szCs w:val="18"/>
        </w:rPr>
        <w:t>caused by malicious persons in respect</w:t>
      </w:r>
    </w:p>
    <w:p w14:paraId="756326D9" w14:textId="77777777" w:rsidR="00ED27FB" w:rsidRDefault="00ED27FB" w:rsidP="00ED27F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333333"/>
          <w:kern w:val="0"/>
          <w:sz w:val="18"/>
          <w:szCs w:val="18"/>
        </w:rPr>
      </w:pPr>
      <w:r>
        <w:rPr>
          <w:rFonts w:ascii="ArialMT" w:hAnsi="ArialMT" w:cs="ArialMT"/>
          <w:color w:val="333333"/>
          <w:kern w:val="0"/>
          <w:sz w:val="18"/>
          <w:szCs w:val="18"/>
        </w:rPr>
        <w:t>of premises which are empty or not in</w:t>
      </w:r>
    </w:p>
    <w:p w14:paraId="2730BE3B" w14:textId="77D63DC0" w:rsidR="00ED27FB" w:rsidRDefault="00ED27FB" w:rsidP="00ED27FB">
      <w:pPr>
        <w:rPr>
          <w:rFonts w:ascii="ArialMT" w:hAnsi="ArialMT" w:cs="ArialMT"/>
          <w:color w:val="333333"/>
          <w:kern w:val="0"/>
          <w:sz w:val="18"/>
          <w:szCs w:val="18"/>
        </w:rPr>
      </w:pPr>
      <w:r>
        <w:rPr>
          <w:rFonts w:ascii="ArialMT" w:hAnsi="ArialMT" w:cs="ArialMT"/>
          <w:color w:val="333333"/>
          <w:kern w:val="0"/>
          <w:sz w:val="18"/>
          <w:szCs w:val="18"/>
        </w:rPr>
        <w:t>use for 30 consecutive days or more</w:t>
      </w:r>
      <w:commentRangeEnd w:id="3"/>
      <w:r w:rsidR="00245EF4">
        <w:rPr>
          <w:rStyle w:val="CommentReference"/>
        </w:rPr>
        <w:commentReference w:id="3"/>
      </w:r>
    </w:p>
    <w:p w14:paraId="5F71C401" w14:textId="77777777" w:rsidR="00A30B5E" w:rsidRDefault="00A30B5E" w:rsidP="00ED27FB">
      <w:pPr>
        <w:rPr>
          <w:rFonts w:ascii="ArialMT" w:hAnsi="ArialMT" w:cs="ArialMT"/>
          <w:color w:val="333333"/>
          <w:kern w:val="0"/>
          <w:sz w:val="18"/>
          <w:szCs w:val="18"/>
        </w:rPr>
      </w:pPr>
    </w:p>
    <w:p w14:paraId="6C5C4591" w14:textId="3539E448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333333"/>
          <w:kern w:val="0"/>
          <w:sz w:val="18"/>
          <w:szCs w:val="18"/>
        </w:rPr>
      </w:pPr>
    </w:p>
    <w:p w14:paraId="2F0D5D78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-Bold" w:hAnsi="Verdana-Bold" w:cs="Verdana-Bold"/>
          <w:b/>
          <w:bCs/>
          <w:kern w:val="0"/>
          <w:sz w:val="19"/>
          <w:szCs w:val="19"/>
        </w:rPr>
      </w:pPr>
      <w:r>
        <w:rPr>
          <w:rFonts w:ascii="Verdana-Bold" w:hAnsi="Verdana-Bold" w:cs="Verdana-Bold"/>
          <w:b/>
          <w:bCs/>
          <w:kern w:val="0"/>
          <w:sz w:val="19"/>
          <w:szCs w:val="19"/>
        </w:rPr>
        <w:t>Extensions</w:t>
      </w:r>
    </w:p>
    <w:p w14:paraId="37D43F80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-Bold" w:hAnsi="Verdana-Bold" w:cs="Verdana-Bold"/>
          <w:b/>
          <w:bCs/>
          <w:kern w:val="0"/>
          <w:sz w:val="19"/>
          <w:szCs w:val="19"/>
        </w:rPr>
      </w:pPr>
    </w:p>
    <w:p w14:paraId="4A614437" w14:textId="77777777" w:rsidR="00A30B5E" w:rsidRDefault="00A30B5E" w:rsidP="00A30B5E"/>
    <w:p w14:paraId="7C2926B0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-Bold" w:hAnsi="Verdana-Bold" w:cs="Verdana-Bold"/>
          <w:b/>
          <w:bCs/>
          <w:kern w:val="0"/>
          <w:sz w:val="19"/>
          <w:szCs w:val="19"/>
        </w:rPr>
      </w:pPr>
      <w:r>
        <w:rPr>
          <w:rFonts w:ascii="Verdana-Bold" w:hAnsi="Verdana-Bold" w:cs="Verdana-Bold"/>
          <w:b/>
          <w:bCs/>
          <w:kern w:val="0"/>
          <w:sz w:val="19"/>
          <w:szCs w:val="19"/>
        </w:rPr>
        <w:t xml:space="preserve">[ 31 ] - </w:t>
      </w:r>
      <w:commentRangeStart w:id="4"/>
      <w:r>
        <w:rPr>
          <w:rFonts w:ascii="Verdana-Bold" w:hAnsi="Verdana-Bold" w:cs="Verdana-Bold"/>
          <w:b/>
          <w:bCs/>
          <w:kern w:val="0"/>
          <w:sz w:val="19"/>
          <w:szCs w:val="19"/>
        </w:rPr>
        <w:t>Fly Tipping Cover</w:t>
      </w:r>
      <w:commentRangeEnd w:id="4"/>
      <w:r w:rsidR="007120AF">
        <w:rPr>
          <w:rStyle w:val="CommentReference"/>
        </w:rPr>
        <w:commentReference w:id="4"/>
      </w:r>
    </w:p>
    <w:p w14:paraId="51BE32DC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The following Extension is added to Part A - Section One - Property Damage:</w:t>
      </w:r>
    </w:p>
    <w:p w14:paraId="08B204C2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 xml:space="preserve">The </w:t>
      </w:r>
      <w:r>
        <w:rPr>
          <w:rFonts w:ascii="Verdana-Bold" w:hAnsi="Verdana-Bold" w:cs="Verdana-Bold"/>
          <w:b/>
          <w:bCs/>
          <w:kern w:val="0"/>
          <w:sz w:val="16"/>
          <w:szCs w:val="16"/>
        </w:rPr>
        <w:t xml:space="preserve">Insurer </w:t>
      </w:r>
      <w:r>
        <w:rPr>
          <w:rFonts w:ascii="Verdana" w:hAnsi="Verdana" w:cs="Verdana"/>
          <w:kern w:val="0"/>
          <w:sz w:val="16"/>
          <w:szCs w:val="16"/>
        </w:rPr>
        <w:t>will pay the reasonable costs of clearing and removing any property illegally</w:t>
      </w:r>
    </w:p>
    <w:p w14:paraId="306D29FE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 xml:space="preserve">deposited in or around the </w:t>
      </w:r>
      <w:r>
        <w:rPr>
          <w:rFonts w:ascii="Verdana-Bold" w:hAnsi="Verdana-Bold" w:cs="Verdana-Bold"/>
          <w:b/>
          <w:bCs/>
          <w:kern w:val="0"/>
          <w:sz w:val="16"/>
          <w:szCs w:val="16"/>
        </w:rPr>
        <w:t>Premises</w:t>
      </w:r>
      <w:r>
        <w:rPr>
          <w:rFonts w:ascii="Verdana" w:hAnsi="Verdana" w:cs="Verdana"/>
          <w:kern w:val="0"/>
          <w:sz w:val="16"/>
          <w:szCs w:val="16"/>
        </w:rPr>
        <w:t>.</w:t>
      </w:r>
    </w:p>
    <w:p w14:paraId="66F0D2DB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 xml:space="preserve">The liability of the </w:t>
      </w:r>
      <w:r>
        <w:rPr>
          <w:rFonts w:ascii="Verdana-Bold" w:hAnsi="Verdana-Bold" w:cs="Verdana-Bold"/>
          <w:b/>
          <w:bCs/>
          <w:kern w:val="0"/>
          <w:sz w:val="16"/>
          <w:szCs w:val="16"/>
        </w:rPr>
        <w:t xml:space="preserve">Insurer </w:t>
      </w:r>
      <w:r>
        <w:rPr>
          <w:rFonts w:ascii="Verdana" w:hAnsi="Verdana" w:cs="Verdana"/>
          <w:kern w:val="0"/>
          <w:sz w:val="16"/>
          <w:szCs w:val="16"/>
        </w:rPr>
        <w:t>under this extension shall not exceed a maximum of £1,000 any one</w:t>
      </w:r>
    </w:p>
    <w:p w14:paraId="054DA367" w14:textId="3FD616BE" w:rsidR="00A30B5E" w:rsidRDefault="00A30B5E" w:rsidP="00A30B5E">
      <w:pPr>
        <w:rPr>
          <w:rFonts w:ascii="Verdana" w:hAnsi="Verdana" w:cs="Verdana"/>
          <w:kern w:val="0"/>
          <w:sz w:val="16"/>
          <w:szCs w:val="16"/>
        </w:rPr>
      </w:pPr>
      <w:r>
        <w:rPr>
          <w:rFonts w:ascii="Verdana-Bold" w:hAnsi="Verdana-Bold" w:cs="Verdana-Bold"/>
          <w:b/>
          <w:bCs/>
          <w:kern w:val="0"/>
          <w:sz w:val="16"/>
          <w:szCs w:val="16"/>
        </w:rPr>
        <w:t xml:space="preserve">Occurrence </w:t>
      </w:r>
      <w:r>
        <w:rPr>
          <w:rFonts w:ascii="Verdana" w:hAnsi="Verdana" w:cs="Verdana"/>
          <w:kern w:val="0"/>
          <w:sz w:val="16"/>
          <w:szCs w:val="16"/>
        </w:rPr>
        <w:t xml:space="preserve">and £5,000 any one </w:t>
      </w:r>
      <w:r>
        <w:rPr>
          <w:rFonts w:ascii="Verdana-Bold" w:hAnsi="Verdana-Bold" w:cs="Verdana-Bold"/>
          <w:b/>
          <w:bCs/>
          <w:kern w:val="0"/>
          <w:sz w:val="16"/>
          <w:szCs w:val="16"/>
        </w:rPr>
        <w:t>Period of Insurance</w:t>
      </w:r>
      <w:r>
        <w:rPr>
          <w:rFonts w:ascii="Verdana" w:hAnsi="Verdana" w:cs="Verdana"/>
          <w:kern w:val="0"/>
          <w:sz w:val="16"/>
          <w:szCs w:val="16"/>
        </w:rPr>
        <w:t>.</w:t>
      </w:r>
    </w:p>
    <w:p w14:paraId="40F289D0" w14:textId="77777777" w:rsidR="00A30B5E" w:rsidRDefault="00A30B5E" w:rsidP="00A30B5E"/>
    <w:p w14:paraId="47A1416C" w14:textId="76CFEE94" w:rsidR="00A30B5E" w:rsidRPr="00A30B5E" w:rsidRDefault="00A30B5E" w:rsidP="00A30B5E">
      <w:pPr>
        <w:rPr>
          <w:rFonts w:ascii="Verdana" w:hAnsi="Verdana"/>
          <w:b/>
          <w:bCs/>
        </w:rPr>
      </w:pPr>
      <w:r w:rsidRPr="00A30B5E">
        <w:rPr>
          <w:rFonts w:ascii="Verdana" w:hAnsi="Verdana"/>
          <w:b/>
          <w:bCs/>
        </w:rPr>
        <w:t>Limits</w:t>
      </w:r>
    </w:p>
    <w:p w14:paraId="0DF56EF7" w14:textId="77777777" w:rsidR="00A30B5E" w:rsidRDefault="00A30B5E" w:rsidP="00A30B5E"/>
    <w:p w14:paraId="6CD20641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-Bold" w:hAnsi="Verdana-Bold" w:cs="Verdana-Bold"/>
          <w:b/>
          <w:bCs/>
          <w:kern w:val="0"/>
          <w:sz w:val="19"/>
          <w:szCs w:val="19"/>
        </w:rPr>
      </w:pPr>
      <w:r>
        <w:rPr>
          <w:rFonts w:ascii="Verdana-Bold" w:hAnsi="Verdana-Bold" w:cs="Verdana-Bold"/>
          <w:b/>
          <w:bCs/>
          <w:kern w:val="0"/>
          <w:sz w:val="19"/>
          <w:szCs w:val="19"/>
        </w:rPr>
        <w:t>[ PL003 ] - Injury to Participants Exclusion</w:t>
      </w:r>
    </w:p>
    <w:p w14:paraId="5046D7F5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commentRangeStart w:id="5"/>
      <w:r>
        <w:rPr>
          <w:rFonts w:ascii="Verdana" w:hAnsi="Verdana" w:cs="Verdana"/>
          <w:kern w:val="0"/>
          <w:sz w:val="16"/>
          <w:szCs w:val="16"/>
        </w:rPr>
        <w:t>We will not provide indemnity in respect of Bodily Injury to persons taking part in activities on</w:t>
      </w:r>
    </w:p>
    <w:p w14:paraId="48D7C505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skateboard ramps, Zipwire Lines and/or BMX tracks, unless caused by defects in such structure</w:t>
      </w:r>
      <w:commentRangeEnd w:id="5"/>
      <w:r w:rsidR="00261033">
        <w:rPr>
          <w:rStyle w:val="CommentReference"/>
        </w:rPr>
        <w:commentReference w:id="5"/>
      </w:r>
    </w:p>
    <w:p w14:paraId="55CDAF33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</w:p>
    <w:p w14:paraId="18AE23B1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-Bold" w:hAnsi="Verdana-Bold" w:cs="Verdana-Bold"/>
          <w:b/>
          <w:bCs/>
          <w:kern w:val="0"/>
          <w:sz w:val="19"/>
          <w:szCs w:val="19"/>
        </w:rPr>
      </w:pPr>
      <w:r>
        <w:rPr>
          <w:rFonts w:ascii="Verdana-Bold" w:hAnsi="Verdana-Bold" w:cs="Verdana-Bold"/>
          <w:b/>
          <w:bCs/>
          <w:kern w:val="0"/>
          <w:sz w:val="19"/>
          <w:szCs w:val="19"/>
        </w:rPr>
        <w:t>[ PL004 ] - PLAYGROUNDS AND AMUSEMENT DEVICES</w:t>
      </w:r>
    </w:p>
    <w:p w14:paraId="6B9BECBA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1. If in relation to any claim You have failed to fulfil any of the following conditions, You will</w:t>
      </w:r>
    </w:p>
    <w:p w14:paraId="57D59AF3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lose Your right to indemnity or payment for that claim.</w:t>
      </w:r>
    </w:p>
    <w:p w14:paraId="38A62E06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You must ensure that in connection with playground and amusement devices</w:t>
      </w:r>
    </w:p>
    <w:p w14:paraId="5A407C89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a. all equipment, devices and facilities, including sand pits and paddling pools</w:t>
      </w:r>
    </w:p>
    <w:p w14:paraId="76F6843C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lastRenderedPageBreak/>
        <w:t>i. are manufactured and installed to the appropriate standard and maintained</w:t>
      </w:r>
    </w:p>
    <w:p w14:paraId="6A3BE449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in good condition.</w:t>
      </w:r>
    </w:p>
    <w:p w14:paraId="16B1B357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 xml:space="preserve">ii. are inspected, by a competent person, </w:t>
      </w:r>
      <w:commentRangeStart w:id="6"/>
      <w:r>
        <w:rPr>
          <w:rFonts w:ascii="Verdana" w:hAnsi="Verdana" w:cs="Verdana"/>
          <w:kern w:val="0"/>
          <w:sz w:val="16"/>
          <w:szCs w:val="16"/>
        </w:rPr>
        <w:t xml:space="preserve">at least weekly </w:t>
      </w:r>
      <w:commentRangeEnd w:id="6"/>
      <w:r w:rsidR="009B41D5">
        <w:rPr>
          <w:rStyle w:val="CommentReference"/>
        </w:rPr>
        <w:commentReference w:id="6"/>
      </w:r>
      <w:r>
        <w:rPr>
          <w:rFonts w:ascii="Verdana" w:hAnsi="Verdana" w:cs="Verdana"/>
          <w:kern w:val="0"/>
          <w:sz w:val="16"/>
          <w:szCs w:val="16"/>
        </w:rPr>
        <w:t>and</w:t>
      </w:r>
    </w:p>
    <w:p w14:paraId="3A39DCE2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all defects or risks to health or safety immediately rectified</w:t>
      </w:r>
    </w:p>
    <w:p w14:paraId="58DBA07E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or</w:t>
      </w:r>
    </w:p>
    <w:p w14:paraId="7CA8EC2B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the equipment, device or facility taken out of use</w:t>
      </w:r>
    </w:p>
    <w:p w14:paraId="77792B1F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 xml:space="preserve">b. You will erect where </w:t>
      </w:r>
      <w:commentRangeStart w:id="7"/>
      <w:r>
        <w:rPr>
          <w:rFonts w:ascii="Verdana" w:hAnsi="Verdana" w:cs="Verdana"/>
          <w:kern w:val="0"/>
          <w:sz w:val="16"/>
          <w:szCs w:val="16"/>
        </w:rPr>
        <w:t>necessary suitable signs detailing any information that is</w:t>
      </w:r>
      <w:commentRangeEnd w:id="7"/>
      <w:r w:rsidR="009B41D5">
        <w:rPr>
          <w:rStyle w:val="CommentReference"/>
        </w:rPr>
        <w:commentReference w:id="7"/>
      </w:r>
    </w:p>
    <w:p w14:paraId="7E784E0D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necessary for the safe use of the equipment device or facility and clearly stating</w:t>
      </w:r>
    </w:p>
    <w:p w14:paraId="68574A6C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any restrictions on its use.</w:t>
      </w:r>
    </w:p>
    <w:p w14:paraId="77CEFB41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c. You will determine where supervision is necessary and ensure that it is provided</w:t>
      </w:r>
    </w:p>
    <w:p w14:paraId="5A89EDA3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whenever the play equipment device or facilities are in use.</w:t>
      </w:r>
    </w:p>
    <w:p w14:paraId="786E7E52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2. We will not provide indemnity in respect of the operation of mechanically powered</w:t>
      </w:r>
    </w:p>
    <w:p w14:paraId="45AFF702" w14:textId="41F11683" w:rsidR="00A30B5E" w:rsidRDefault="00A30B5E" w:rsidP="00A30B5E">
      <w:pPr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passenger carrying amusement devices or inflatable devices.</w:t>
      </w:r>
    </w:p>
    <w:p w14:paraId="735E5D88" w14:textId="77777777" w:rsidR="00A30B5E" w:rsidRDefault="00A30B5E" w:rsidP="00A30B5E">
      <w:pPr>
        <w:rPr>
          <w:rFonts w:ascii="Verdana" w:hAnsi="Verdana" w:cs="Verdana"/>
          <w:kern w:val="0"/>
          <w:sz w:val="16"/>
          <w:szCs w:val="16"/>
        </w:rPr>
      </w:pPr>
    </w:p>
    <w:p w14:paraId="732307D8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-Bold" w:hAnsi="Verdana-Bold" w:cs="Verdana-Bold"/>
          <w:b/>
          <w:bCs/>
          <w:kern w:val="0"/>
          <w:sz w:val="19"/>
          <w:szCs w:val="19"/>
        </w:rPr>
      </w:pPr>
      <w:r>
        <w:rPr>
          <w:rFonts w:ascii="Verdana-Bold" w:hAnsi="Verdana-Bold" w:cs="Verdana-Bold"/>
          <w:b/>
          <w:bCs/>
          <w:kern w:val="0"/>
          <w:sz w:val="19"/>
          <w:szCs w:val="19"/>
        </w:rPr>
        <w:t>[ SKATE ] - Skate Park Endorsement</w:t>
      </w:r>
    </w:p>
    <w:p w14:paraId="21F0DB49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If in relation to any claim you have failed to fulfil any of the following conditions, You will lose</w:t>
      </w:r>
    </w:p>
    <w:p w14:paraId="30195610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Your right to indemnity payment for that claim.</w:t>
      </w:r>
    </w:p>
    <w:p w14:paraId="570775C8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You must ensure that in connection with skateboard parks</w:t>
      </w:r>
    </w:p>
    <w:p w14:paraId="543E6EEB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1. all structures including the skating surfaces</w:t>
      </w:r>
    </w:p>
    <w:p w14:paraId="7A321179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a. are manufactured and installed to the appropriate standard and maintained in good</w:t>
      </w:r>
    </w:p>
    <w:p w14:paraId="6DD54292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condition</w:t>
      </w:r>
    </w:p>
    <w:p w14:paraId="2967BF5F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b. are inspected by a competent person at least weekly and</w:t>
      </w:r>
    </w:p>
    <w:p w14:paraId="0C255B62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i. all defects or risks to health or safety immediately rectified</w:t>
      </w:r>
    </w:p>
    <w:p w14:paraId="102F771A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or</w:t>
      </w:r>
    </w:p>
    <w:p w14:paraId="07F8D247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ii. the structure taken out of use</w:t>
      </w:r>
    </w:p>
    <w:p w14:paraId="6FA79940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2. You will erect where necessary suitable signs detailing any information that is necessary</w:t>
      </w:r>
    </w:p>
    <w:p w14:paraId="0BAF1394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for the safe use of the facility and clearly stating any restrictions on its use</w:t>
      </w:r>
    </w:p>
    <w:p w14:paraId="568EDAD3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3. You will determine where supervision is necessary and ensure that it is provided whenever</w:t>
      </w:r>
    </w:p>
    <w:p w14:paraId="416DA41F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the facilities are in use.</w:t>
      </w:r>
    </w:p>
    <w:p w14:paraId="263E2071" w14:textId="77777777" w:rsidR="00A30B5E" w:rsidRDefault="00A30B5E" w:rsidP="00A30B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We will not provide indemnity in respect of Bodily Injury to persons taking part in activities in the</w:t>
      </w:r>
    </w:p>
    <w:p w14:paraId="099360A7" w14:textId="386F4719" w:rsidR="00A30B5E" w:rsidRDefault="00A30B5E" w:rsidP="00A30B5E">
      <w:r>
        <w:rPr>
          <w:rFonts w:ascii="Verdana" w:hAnsi="Verdana" w:cs="Verdana"/>
          <w:kern w:val="0"/>
          <w:sz w:val="16"/>
          <w:szCs w:val="16"/>
        </w:rPr>
        <w:t>Skateboard Park unless caused by defects in the structure</w:t>
      </w:r>
    </w:p>
    <w:sectPr w:rsidR="00A3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derbury Parish Council Parish Clerk" w:date="2023-11-12T17:45:00Z" w:initials="AP">
    <w:p w14:paraId="274991BE" w14:textId="64501D19" w:rsidR="00AD25AD" w:rsidRDefault="00AD25AD">
      <w:pPr>
        <w:pStyle w:val="CommentText"/>
      </w:pPr>
      <w:r>
        <w:rPr>
          <w:rStyle w:val="CommentReference"/>
        </w:rPr>
        <w:annotationRef/>
      </w:r>
      <w:r>
        <w:t>This was standard wording in policies and we would not be compli</w:t>
      </w:r>
      <w:r w:rsidR="0010310F">
        <w:t xml:space="preserve">ant. At Wilton Ideverde provide this as a paid service. Vita Play </w:t>
      </w:r>
      <w:r w:rsidR="002926AC">
        <w:t>can offer this</w:t>
      </w:r>
    </w:p>
  </w:comment>
  <w:comment w:id="1" w:author="Alderbury Parish Council Parish Clerk" w:date="2023-11-12T17:49:00Z" w:initials="AP">
    <w:p w14:paraId="5D277D29" w14:textId="23731BA4" w:rsidR="00F45C0B" w:rsidRDefault="00F45C0B">
      <w:pPr>
        <w:pStyle w:val="CommentText"/>
      </w:pPr>
      <w:r>
        <w:rPr>
          <w:rStyle w:val="CommentReference"/>
        </w:rPr>
        <w:annotationRef/>
      </w:r>
      <w:r>
        <w:t xml:space="preserve">We have never been picked up by RoSPA for this so I guess we are compliant. </w:t>
      </w:r>
      <w:r w:rsidR="00225E4D">
        <w:t>We will be adding better ownership signs in the coming months.</w:t>
      </w:r>
    </w:p>
  </w:comment>
  <w:comment w:id="2" w:author="Alderbury Parish Council Parish Clerk" w:date="2023-11-12T17:50:00Z" w:initials="AP">
    <w:p w14:paraId="4671A178" w14:textId="080902B0" w:rsidR="007F118B" w:rsidRDefault="007F118B">
      <w:pPr>
        <w:pStyle w:val="CommentText"/>
      </w:pPr>
      <w:r>
        <w:rPr>
          <w:rStyle w:val="CommentReference"/>
        </w:rPr>
        <w:annotationRef/>
      </w:r>
      <w:r>
        <w:t>Does anyone know if we think we are insuring the tree? If so, are we compliant with this?</w:t>
      </w:r>
    </w:p>
  </w:comment>
  <w:comment w:id="3" w:author="Alderbury Parish Council Parish Clerk" w:date="2023-11-12T17:50:00Z" w:initials="AP">
    <w:p w14:paraId="0958A99C" w14:textId="0F8E8F63" w:rsidR="00245EF4" w:rsidRDefault="00245EF4">
      <w:pPr>
        <w:pStyle w:val="CommentText"/>
      </w:pPr>
      <w:r>
        <w:rPr>
          <w:rStyle w:val="CommentReference"/>
        </w:rPr>
        <w:annotationRef/>
      </w:r>
      <w:r>
        <w:t>Could be relevant at The Pavilion</w:t>
      </w:r>
    </w:p>
  </w:comment>
  <w:comment w:id="4" w:author="Alderbury Parish Council Parish Clerk" w:date="2023-11-12T17:52:00Z" w:initials="AP">
    <w:p w14:paraId="6D3D5946" w14:textId="17AC8048" w:rsidR="007120AF" w:rsidRDefault="007120AF">
      <w:pPr>
        <w:pStyle w:val="CommentText"/>
      </w:pPr>
      <w:r>
        <w:rPr>
          <w:rStyle w:val="CommentReference"/>
        </w:rPr>
        <w:annotationRef/>
      </w:r>
      <w:r>
        <w:t>One to remember perhaps</w:t>
      </w:r>
    </w:p>
  </w:comment>
  <w:comment w:id="5" w:author="Alderbury Parish Council Parish Clerk" w:date="2023-11-12T17:52:00Z" w:initials="AP">
    <w:p w14:paraId="2FDE9BB8" w14:textId="3DBFFD43" w:rsidR="00261033" w:rsidRDefault="00261033">
      <w:pPr>
        <w:pStyle w:val="CommentText"/>
      </w:pPr>
      <w:r>
        <w:rPr>
          <w:rStyle w:val="CommentReference"/>
        </w:rPr>
        <w:annotationRef/>
      </w:r>
      <w:r w:rsidR="00FF1CD3">
        <w:t>I would have thought this was generally true – how do other people interpret this specifically?</w:t>
      </w:r>
    </w:p>
  </w:comment>
  <w:comment w:id="6" w:author="Alderbury Parish Council Parish Clerk" w:date="2023-11-12T17:53:00Z" w:initials="AP">
    <w:p w14:paraId="37DC763B" w14:textId="2F259EA6" w:rsidR="009B41D5" w:rsidRDefault="009B41D5">
      <w:pPr>
        <w:pStyle w:val="CommentText"/>
      </w:pPr>
      <w:r>
        <w:rPr>
          <w:rStyle w:val="CommentReference"/>
        </w:rPr>
        <w:annotationRef/>
      </w:r>
      <w:r>
        <w:t>again</w:t>
      </w:r>
    </w:p>
  </w:comment>
  <w:comment w:id="7" w:author="Alderbury Parish Council Parish Clerk" w:date="2023-11-12T17:53:00Z" w:initials="AP">
    <w:p w14:paraId="51441EB8" w14:textId="708D62D0" w:rsidR="009B41D5" w:rsidRDefault="009B41D5">
      <w:pPr>
        <w:pStyle w:val="CommentText"/>
      </w:pPr>
      <w:r>
        <w:rPr>
          <w:rStyle w:val="CommentReference"/>
        </w:rPr>
        <w:annotationRef/>
      </w:r>
      <w:r>
        <w:t>again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991BE" w15:done="0"/>
  <w15:commentEx w15:paraId="5D277D29" w15:done="0"/>
  <w15:commentEx w15:paraId="4671A178" w15:done="0"/>
  <w15:commentEx w15:paraId="0958A99C" w15:done="0"/>
  <w15:commentEx w15:paraId="6D3D5946" w15:done="0"/>
  <w15:commentEx w15:paraId="2FDE9BB8" w15:done="0"/>
  <w15:commentEx w15:paraId="37DC763B" w15:done="0"/>
  <w15:commentEx w15:paraId="51441E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E6BDE2" w16cex:dateUtc="2023-11-12T17:45:00Z"/>
  <w16cex:commentExtensible w16cex:durableId="64221687" w16cex:dateUtc="2023-11-12T17:49:00Z"/>
  <w16cex:commentExtensible w16cex:durableId="66995F05" w16cex:dateUtc="2023-11-12T17:50:00Z"/>
  <w16cex:commentExtensible w16cex:durableId="42C4B269" w16cex:dateUtc="2023-11-12T17:50:00Z"/>
  <w16cex:commentExtensible w16cex:durableId="06F5FBDC" w16cex:dateUtc="2023-11-12T17:52:00Z"/>
  <w16cex:commentExtensible w16cex:durableId="3BEFCF95" w16cex:dateUtc="2023-11-12T17:52:00Z"/>
  <w16cex:commentExtensible w16cex:durableId="5A4C162E" w16cex:dateUtc="2023-11-12T17:53:00Z"/>
  <w16cex:commentExtensible w16cex:durableId="743A5803" w16cex:dateUtc="2023-11-12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991BE" w16cid:durableId="56E6BDE2"/>
  <w16cid:commentId w16cid:paraId="5D277D29" w16cid:durableId="64221687"/>
  <w16cid:commentId w16cid:paraId="4671A178" w16cid:durableId="66995F05"/>
  <w16cid:commentId w16cid:paraId="0958A99C" w16cid:durableId="42C4B269"/>
  <w16cid:commentId w16cid:paraId="6D3D5946" w16cid:durableId="06F5FBDC"/>
  <w16cid:commentId w16cid:paraId="2FDE9BB8" w16cid:durableId="3BEFCF95"/>
  <w16cid:commentId w16cid:paraId="37DC763B" w16cid:durableId="5A4C162E"/>
  <w16cid:commentId w16cid:paraId="51441EB8" w16cid:durableId="743A58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erbury Parish Council Parish Clerk">
    <w15:presenceInfo w15:providerId="Windows Live" w15:userId="86881a7c2f454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FB"/>
    <w:rsid w:val="0010310F"/>
    <w:rsid w:val="00137D5E"/>
    <w:rsid w:val="00225E4D"/>
    <w:rsid w:val="00245EF4"/>
    <w:rsid w:val="00261033"/>
    <w:rsid w:val="002926AC"/>
    <w:rsid w:val="007120AF"/>
    <w:rsid w:val="00736C9C"/>
    <w:rsid w:val="007F118B"/>
    <w:rsid w:val="009419A4"/>
    <w:rsid w:val="0096107B"/>
    <w:rsid w:val="009B41D5"/>
    <w:rsid w:val="00A03D36"/>
    <w:rsid w:val="00A30B5E"/>
    <w:rsid w:val="00AD25AD"/>
    <w:rsid w:val="00B12D6C"/>
    <w:rsid w:val="00B16DA3"/>
    <w:rsid w:val="00BB0A29"/>
    <w:rsid w:val="00BC393B"/>
    <w:rsid w:val="00BE3548"/>
    <w:rsid w:val="00E74F32"/>
    <w:rsid w:val="00E9013F"/>
    <w:rsid w:val="00ED27FB"/>
    <w:rsid w:val="00F432F3"/>
    <w:rsid w:val="00F45C0B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AC6A"/>
  <w15:chartTrackingRefBased/>
  <w15:docId w15:val="{E6C8E1CC-1C00-44F7-9EE6-D68B2E5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60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2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Alderbury Parish Council Parish Clerk</dc:creator>
  <cp:keywords/>
  <dc:description/>
  <cp:lastModifiedBy>Alderbury Parish Clerk</cp:lastModifiedBy>
  <cp:revision>19</cp:revision>
  <dcterms:created xsi:type="dcterms:W3CDTF">2023-09-14T17:36:00Z</dcterms:created>
  <dcterms:modified xsi:type="dcterms:W3CDTF">2023-11-13T09:22:00Z</dcterms:modified>
</cp:coreProperties>
</file>