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93084" w14:textId="3A9927BC" w:rsidR="003D1107" w:rsidRPr="00E818C1" w:rsidRDefault="003D1107" w:rsidP="003D1107">
      <w:pPr>
        <w:pStyle w:val="Heading1"/>
        <w:rPr>
          <w:sz w:val="28"/>
          <w:szCs w:val="28"/>
        </w:rPr>
      </w:pPr>
      <w:r w:rsidRPr="00E818C1">
        <w:rPr>
          <w:sz w:val="28"/>
          <w:szCs w:val="28"/>
        </w:rPr>
        <w:t>THOUGHTS ON CHANGES TO ALDERBURY CEMETERY ADMINISTRATION</w:t>
      </w:r>
    </w:p>
    <w:p w14:paraId="394D26E7" w14:textId="77777777" w:rsidR="003D1107" w:rsidRDefault="003D1107" w:rsidP="007767F2"/>
    <w:p w14:paraId="7AE520EE" w14:textId="6C359FC1" w:rsidR="00775A5C" w:rsidRDefault="00B4476F" w:rsidP="007767F2">
      <w:r>
        <w:t>Like many small cemeteries</w:t>
      </w:r>
      <w:r w:rsidR="00775A5C">
        <w:t>,</w:t>
      </w:r>
      <w:r>
        <w:t xml:space="preserve"> </w:t>
      </w:r>
      <w:r w:rsidR="00775A5C">
        <w:t>Alderbury has been run for many years by clerks with no proper training. Very few issues have resulted</w:t>
      </w:r>
      <w:r w:rsidR="00954F35">
        <w:t>,</w:t>
      </w:r>
      <w:r w:rsidR="00775A5C">
        <w:t xml:space="preserve"> but the risk of something </w:t>
      </w:r>
      <w:r w:rsidR="00464992">
        <w:t>happening which would cause embarrassment or offence clearly increases as the number of burials increases.</w:t>
      </w:r>
      <w:r w:rsidR="00BC4475">
        <w:t xml:space="preserve"> Poor practice is handed down from clerk to clerk</w:t>
      </w:r>
      <w:r w:rsidR="00344612">
        <w:t>,</w:t>
      </w:r>
      <w:r w:rsidR="00BC4475">
        <w:t xml:space="preserve"> if no attempt is made to </w:t>
      </w:r>
      <w:r w:rsidR="006271DE">
        <w:t>improve standards of administration.</w:t>
      </w:r>
    </w:p>
    <w:p w14:paraId="083600FE" w14:textId="77777777" w:rsidR="006271DE" w:rsidRDefault="006271DE" w:rsidP="007767F2"/>
    <w:p w14:paraId="417B254A" w14:textId="43167FE4" w:rsidR="00954F35" w:rsidRDefault="00954F35" w:rsidP="007767F2">
      <w:r>
        <w:t xml:space="preserve">My recommendation is that rules are tightened up and that all future clerks receive proper training from the Institute of </w:t>
      </w:r>
      <w:r w:rsidR="004B5842">
        <w:t>Cemeteries and Crematoria Management</w:t>
      </w:r>
      <w:r w:rsidR="006271DE">
        <w:t xml:space="preserve"> as soon as possible after starting. </w:t>
      </w:r>
      <w:r w:rsidR="004B5842">
        <w:t xml:space="preserve"> I have recently completed their initial training and found it informative.</w:t>
      </w:r>
      <w:r w:rsidR="00BC4475">
        <w:t xml:space="preserve"> </w:t>
      </w:r>
      <w:r w:rsidR="00E818C1">
        <w:t xml:space="preserve">Thank you for supporting this. </w:t>
      </w:r>
      <w:r w:rsidR="00625B57">
        <w:t>Suggestions for change come from that course and from what I have learnt at my other position in Wilton</w:t>
      </w:r>
      <w:r w:rsidR="00F05680">
        <w:t>,</w:t>
      </w:r>
      <w:r w:rsidR="00625B57">
        <w:t xml:space="preserve"> where the cemetery is run to very high standards</w:t>
      </w:r>
      <w:r w:rsidR="00CD3849">
        <w:t>.</w:t>
      </w:r>
    </w:p>
    <w:p w14:paraId="4CF306D7" w14:textId="77777777" w:rsidR="00CD3849" w:rsidRDefault="00CD3849" w:rsidP="007767F2"/>
    <w:p w14:paraId="440798FA" w14:textId="77777777" w:rsidR="00C46624" w:rsidRDefault="00CD3849" w:rsidP="007767F2">
      <w:r>
        <w:t xml:space="preserve">It was openly </w:t>
      </w:r>
      <w:r w:rsidR="00E86CCB">
        <w:t>acknowledged</w:t>
      </w:r>
      <w:r>
        <w:t xml:space="preserve"> on the course that many cemeteries are run with</w:t>
      </w:r>
      <w:r w:rsidR="00E86CCB">
        <w:t>out strict reference to the law and best practice.</w:t>
      </w:r>
      <w:r w:rsidR="0011008C">
        <w:t xml:space="preserve"> </w:t>
      </w:r>
      <w:r w:rsidR="003B1E4D">
        <w:t xml:space="preserve">Alderbury is nowhere near a </w:t>
      </w:r>
      <w:r w:rsidR="00ED0BBE">
        <w:t xml:space="preserve">worst offender and the basics are in place. On the course, we </w:t>
      </w:r>
      <w:r w:rsidR="0011008C">
        <w:t>were advised to</w:t>
      </w:r>
    </w:p>
    <w:p w14:paraId="7BC6EDDC" w14:textId="2031E0F9" w:rsidR="00C46624" w:rsidRDefault="0011008C" w:rsidP="00C46624">
      <w:pPr>
        <w:pStyle w:val="ListParagraph"/>
        <w:numPr>
          <w:ilvl w:val="0"/>
          <w:numId w:val="2"/>
        </w:numPr>
      </w:pPr>
      <w:r>
        <w:t>set</w:t>
      </w:r>
      <w:r w:rsidR="00D834B4">
        <w:t xml:space="preserve"> a</w:t>
      </w:r>
      <w:r>
        <w:t xml:space="preserve"> date when </w:t>
      </w:r>
      <w:r w:rsidR="009329DA">
        <w:t xml:space="preserve">stricter rules will be enforced </w:t>
      </w:r>
    </w:p>
    <w:p w14:paraId="2871B0FD" w14:textId="77777777" w:rsidR="00C46624" w:rsidRDefault="0011008C" w:rsidP="00C46624">
      <w:pPr>
        <w:pStyle w:val="ListParagraph"/>
        <w:numPr>
          <w:ilvl w:val="0"/>
          <w:numId w:val="2"/>
        </w:numPr>
      </w:pPr>
      <w:r>
        <w:t xml:space="preserve">not </w:t>
      </w:r>
      <w:r w:rsidR="009329DA">
        <w:t xml:space="preserve">to </w:t>
      </w:r>
      <w:r>
        <w:t>go back and try to right the wrongs of the past</w:t>
      </w:r>
    </w:p>
    <w:p w14:paraId="7D0BD26F" w14:textId="02BA6137" w:rsidR="00CD3849" w:rsidRDefault="00C46624" w:rsidP="00C46624">
      <w:pPr>
        <w:pStyle w:val="ListParagraph"/>
        <w:numPr>
          <w:ilvl w:val="0"/>
          <w:numId w:val="2"/>
        </w:numPr>
      </w:pPr>
      <w:r>
        <w:t>a</w:t>
      </w:r>
      <w:r w:rsidR="00D834B4">
        <w:t>gree a way that they are dealt with as they arise</w:t>
      </w:r>
    </w:p>
    <w:p w14:paraId="3D79274A" w14:textId="77777777" w:rsidR="00513E14" w:rsidRDefault="00513E14" w:rsidP="007767F2"/>
    <w:p w14:paraId="4E4BA68D" w14:textId="72ADF5E1" w:rsidR="00513E14" w:rsidRDefault="00C94F45" w:rsidP="007767F2">
      <w:pPr>
        <w:rPr>
          <w:i/>
          <w:iCs/>
        </w:rPr>
      </w:pPr>
      <w:r>
        <w:t xml:space="preserve">Our working practice should start </w:t>
      </w:r>
      <w:r w:rsidR="00DE47F2">
        <w:t>from this summary of the law</w:t>
      </w:r>
      <w:r w:rsidR="00BF24B0">
        <w:t xml:space="preserve">, which I suggest we add to our </w:t>
      </w:r>
      <w:proofErr w:type="spellStart"/>
      <w:r w:rsidR="00BF24B0">
        <w:t>regualtion</w:t>
      </w:r>
      <w:proofErr w:type="spellEnd"/>
      <w:r>
        <w:t xml:space="preserve">: </w:t>
      </w:r>
      <w:r w:rsidRPr="003B1E4D">
        <w:rPr>
          <w:i/>
          <w:iCs/>
        </w:rPr>
        <w:t>Alderbury cemetery is managed in accordance with the Local Authorities’ Cemeteries Order 1977 under which burial authorities are responsible for maintaining statutory burial registers and grave plans, establishing rules and regulations relating to the management of the cemeteries and the memorials permitted with them and setting fees for burials and memorials.  The regulations include the statutory requirements contained within the Local Government Act 1972 and the Local Authorities Cemeteries Order 1977 together with any other relevant legislation that governs this service.</w:t>
      </w:r>
    </w:p>
    <w:p w14:paraId="1692F77A" w14:textId="77777777" w:rsidR="00FC2532" w:rsidRDefault="00FC2532" w:rsidP="007767F2">
      <w:pPr>
        <w:rPr>
          <w:i/>
          <w:iCs/>
        </w:rPr>
      </w:pPr>
    </w:p>
    <w:p w14:paraId="11B83E6C" w14:textId="5C23AB36" w:rsidR="00FC2532" w:rsidRDefault="00FC2532" w:rsidP="007767F2">
      <w:r>
        <w:t xml:space="preserve">We do have a good set of </w:t>
      </w:r>
      <w:r w:rsidR="008B03A1">
        <w:t>regulations</w:t>
      </w:r>
      <w:r>
        <w:t xml:space="preserve"> which form an excellent starting point. The key </w:t>
      </w:r>
      <w:r w:rsidR="008B03A1">
        <w:t>omission, and this is so, so common, is keeping track of grave rights ownership.</w:t>
      </w:r>
      <w:r w:rsidR="0046399F">
        <w:t xml:space="preserve"> In many cases</w:t>
      </w:r>
      <w:r w:rsidR="003238B4">
        <w:t>,</w:t>
      </w:r>
      <w:r w:rsidR="0046399F">
        <w:t xml:space="preserve"> there is no record on an initial Exclusive Right of Burial</w:t>
      </w:r>
      <w:r w:rsidR="00A02FF0">
        <w:t xml:space="preserve"> (EroB)</w:t>
      </w:r>
      <w:r w:rsidR="0046399F">
        <w:t xml:space="preserve"> ever having been issued. This is less true under certain clerks</w:t>
      </w:r>
      <w:r w:rsidR="003238B4">
        <w:t xml:space="preserve">, </w:t>
      </w:r>
      <w:r w:rsidR="0046399F">
        <w:t>so the record is patchy</w:t>
      </w:r>
      <w:r w:rsidR="00A02FF0">
        <w:t xml:space="preserve">. </w:t>
      </w:r>
      <w:r w:rsidR="007C53CE">
        <w:t xml:space="preserve">Whilst </w:t>
      </w:r>
      <w:r w:rsidR="00A02FF0">
        <w:t xml:space="preserve">ERoBs are not a statutory requirement they are </w:t>
      </w:r>
      <w:r w:rsidR="00807332">
        <w:t>key to good management of rights.</w:t>
      </w:r>
      <w:r w:rsidR="00B933CB">
        <w:t xml:space="preserve"> </w:t>
      </w:r>
      <w:r w:rsidR="00540073">
        <w:t xml:space="preserve">It provides a right </w:t>
      </w:r>
      <w:r w:rsidR="00F16C90">
        <w:t>to bury a body or cremated remains and to erect a memorial</w:t>
      </w:r>
      <w:r w:rsidR="00E575EE">
        <w:t xml:space="preserve"> for a set number of years. Grave ‘owners’ never own the land.</w:t>
      </w:r>
      <w:r w:rsidR="00F16C90">
        <w:t xml:space="preserve"> Such rights can be handed down by a will</w:t>
      </w:r>
      <w:r w:rsidR="00E6725C">
        <w:t>,</w:t>
      </w:r>
      <w:r w:rsidR="00F16C90">
        <w:t xml:space="preserve"> </w:t>
      </w:r>
      <w:r w:rsidR="00BA3A5C">
        <w:t xml:space="preserve">but need to </w:t>
      </w:r>
      <w:r w:rsidR="003238B4">
        <w:t xml:space="preserve">be </w:t>
      </w:r>
      <w:r w:rsidR="00BA3A5C">
        <w:t xml:space="preserve">transferred (assigned) to the new owner. In small cemeteries like Alderbury this is rarely done </w:t>
      </w:r>
      <w:r w:rsidR="00005A58">
        <w:t xml:space="preserve">correctly and tends to be ‘assumed’. Why might this matter? There are plenty of horror stories out there of families being estranged and </w:t>
      </w:r>
      <w:r w:rsidR="00D65677">
        <w:t>having very different views on who ‘controls’ the grave rights and what can be done with them.</w:t>
      </w:r>
      <w:r w:rsidR="003F27AF">
        <w:t xml:space="preserve"> A will, with probate</w:t>
      </w:r>
      <w:r w:rsidR="00E6725C">
        <w:t xml:space="preserve"> or letters of administration</w:t>
      </w:r>
      <w:r w:rsidR="003F27AF">
        <w:t xml:space="preserve"> </w:t>
      </w:r>
      <w:r w:rsidR="002155DD">
        <w:t>as</w:t>
      </w:r>
      <w:r w:rsidR="003F27AF">
        <w:t xml:space="preserve"> appropriate, or a statutory </w:t>
      </w:r>
      <w:r w:rsidR="00260324">
        <w:t>declaration</w:t>
      </w:r>
      <w:r w:rsidR="003F27AF">
        <w:t xml:space="preserve"> </w:t>
      </w:r>
      <w:r w:rsidR="00260324">
        <w:t>can clarify in law who owns the rights.</w:t>
      </w:r>
      <w:r w:rsidR="00657CEB">
        <w:t xml:space="preserve"> As the administrator you can then make decisions on further burials or memorials confidently.</w:t>
      </w:r>
    </w:p>
    <w:p w14:paraId="7973A70A" w14:textId="77777777" w:rsidR="00A31830" w:rsidRDefault="00A31830" w:rsidP="007767F2"/>
    <w:p w14:paraId="6C5BB162" w14:textId="3999FAC9" w:rsidR="00A31830" w:rsidRDefault="00EB0985" w:rsidP="007767F2">
      <w:r>
        <w:t xml:space="preserve">APC invested in Scribe Cemetery a couple of years ago and former clerk, Steve Milton, did </w:t>
      </w:r>
      <w:proofErr w:type="gramStart"/>
      <w:r>
        <w:t>make  a</w:t>
      </w:r>
      <w:proofErr w:type="gramEnd"/>
      <w:r>
        <w:t xml:space="preserve"> start on transferring r</w:t>
      </w:r>
      <w:r w:rsidR="00576303">
        <w:t>e</w:t>
      </w:r>
      <w:r>
        <w:t xml:space="preserve">cords but the work </w:t>
      </w:r>
      <w:r w:rsidR="00576303">
        <w:t>is in</w:t>
      </w:r>
      <w:r>
        <w:t>complete.</w:t>
      </w:r>
      <w:r w:rsidR="00576303">
        <w:t xml:space="preserve"> A comprehensive transfer would allow the burial books to be archived and </w:t>
      </w:r>
      <w:r w:rsidR="00967EB0">
        <w:t>we could rely on just the Scribe records.</w:t>
      </w:r>
    </w:p>
    <w:p w14:paraId="4FD98D7C" w14:textId="77777777" w:rsidR="00BE628A" w:rsidRDefault="00BE628A" w:rsidP="007767F2"/>
    <w:p w14:paraId="23F5C8B2" w14:textId="4A067F4E" w:rsidR="00BE628A" w:rsidRDefault="00BE628A" w:rsidP="007767F2">
      <w:r>
        <w:t>I checked cemet</w:t>
      </w:r>
      <w:r w:rsidR="00B4318A">
        <w:t>er</w:t>
      </w:r>
      <w:r>
        <w:t>y fees in Alderbury against some other local cemeteries</w:t>
      </w:r>
      <w:r w:rsidR="00B4318A">
        <w:t>:</w:t>
      </w:r>
      <w:r>
        <w:t xml:space="preserve"> </w:t>
      </w:r>
      <w:r w:rsidR="00B4318A">
        <w:t xml:space="preserve">Redlynch, Downton and Wilton. A table of selected fees is below. </w:t>
      </w:r>
      <w:r w:rsidR="004A7D3A">
        <w:t xml:space="preserve">Income in </w:t>
      </w:r>
      <w:r w:rsidR="00511365">
        <w:t xml:space="preserve">the past 4 years has been </w:t>
      </w:r>
      <w:r w:rsidR="009653ED">
        <w:t xml:space="preserve">pretty steady at </w:t>
      </w:r>
      <w:r w:rsidR="009653ED">
        <w:lastRenderedPageBreak/>
        <w:t xml:space="preserve">around £2,000 pa. This is to be set against admin costs, grass cutting and </w:t>
      </w:r>
      <w:r w:rsidR="00DB5556">
        <w:t>path and other maintenance</w:t>
      </w:r>
      <w:r w:rsidR="008F4BA6">
        <w:t xml:space="preserve"> - p</w:t>
      </w:r>
      <w:r w:rsidR="00EE231C">
        <w:t xml:space="preserve">robably break even unless </w:t>
      </w:r>
      <w:r w:rsidR="00D32EA2">
        <w:t>a more major project is needed</w:t>
      </w:r>
      <w:r w:rsidR="00780242">
        <w:t xml:space="preserve"> eg improving the car park or the current path </w:t>
      </w:r>
      <w:r w:rsidR="00087404">
        <w:t>improvements</w:t>
      </w:r>
      <w:r w:rsidR="00780242">
        <w:t>. It is common for local authority cemeteries to be subsidised in</w:t>
      </w:r>
      <w:r w:rsidR="005835E9">
        <w:t xml:space="preserve"> t</w:t>
      </w:r>
      <w:r w:rsidR="00780242">
        <w:t>his way and just important that councillors understand what they are providing.</w:t>
      </w:r>
    </w:p>
    <w:p w14:paraId="485EC81A" w14:textId="77777777" w:rsidR="00967EB0" w:rsidRDefault="00967EB0" w:rsidP="007767F2"/>
    <w:p w14:paraId="49CB9873" w14:textId="77777777" w:rsidR="009C45CE" w:rsidRDefault="009C45CE" w:rsidP="007767F2"/>
    <w:p w14:paraId="711B875E" w14:textId="0075CFD4" w:rsidR="00967EB0" w:rsidRDefault="00967EB0" w:rsidP="007767F2">
      <w:pPr>
        <w:rPr>
          <w:b/>
          <w:bCs/>
          <w:u w:val="single"/>
        </w:rPr>
      </w:pPr>
      <w:r w:rsidRPr="00967EB0">
        <w:rPr>
          <w:b/>
          <w:bCs/>
          <w:u w:val="single"/>
        </w:rPr>
        <w:t>Recommendations</w:t>
      </w:r>
    </w:p>
    <w:p w14:paraId="57C42661" w14:textId="1529DD94" w:rsidR="00967EB0" w:rsidRPr="009C45CE" w:rsidRDefault="00246C3E" w:rsidP="00967EB0">
      <w:pPr>
        <w:pStyle w:val="ListParagraph"/>
        <w:numPr>
          <w:ilvl w:val="0"/>
          <w:numId w:val="1"/>
        </w:numPr>
        <w:rPr>
          <w:b/>
          <w:bCs/>
          <w:i/>
          <w:iCs/>
          <w:u w:val="single"/>
        </w:rPr>
      </w:pPr>
      <w:r>
        <w:t xml:space="preserve">The Council commits to the transfer of all records past and future to Scribe and archive the </w:t>
      </w:r>
      <w:r w:rsidR="008A26F1">
        <w:t>traditional books and paper records.</w:t>
      </w:r>
      <w:r w:rsidR="00D01E8E">
        <w:t xml:space="preserve"> Mapping to be added.</w:t>
      </w:r>
      <w:r w:rsidR="006375C1">
        <w:t xml:space="preserve"> </w:t>
      </w:r>
      <w:r w:rsidR="006375C1" w:rsidRPr="009C45CE">
        <w:rPr>
          <w:i/>
          <w:iCs/>
        </w:rPr>
        <w:t>IMPACT on clerk’s working time</w:t>
      </w:r>
    </w:p>
    <w:p w14:paraId="2C52FBE1" w14:textId="28AD69BF" w:rsidR="008A26F1" w:rsidRPr="00CC212D" w:rsidRDefault="008A26F1" w:rsidP="00967EB0">
      <w:pPr>
        <w:pStyle w:val="ListParagraph"/>
        <w:numPr>
          <w:ilvl w:val="0"/>
          <w:numId w:val="1"/>
        </w:numPr>
        <w:rPr>
          <w:b/>
          <w:bCs/>
          <w:u w:val="single"/>
        </w:rPr>
      </w:pPr>
      <w:r>
        <w:t>The Council adopts a more rigorous policy on the ownership of grave rights.</w:t>
      </w:r>
      <w:r w:rsidR="005C49FC">
        <w:t xml:space="preserve"> From a date to be determined assignments must be legally completed to </w:t>
      </w:r>
      <w:r w:rsidR="0017212E">
        <w:t>allow</w:t>
      </w:r>
      <w:r w:rsidR="005C49FC">
        <w:t xml:space="preserve"> additional burials in a plot or the erection of a memorial by anyone other than the original owner (assumed to be the person buried </w:t>
      </w:r>
      <w:r w:rsidR="0017212E">
        <w:t>with 99 years rights, where no other record exists)</w:t>
      </w:r>
      <w:r w:rsidR="0027348A">
        <w:t>. Such a transfer may incur a charge</w:t>
      </w:r>
      <w:r w:rsidR="00015F2E">
        <w:t>.</w:t>
      </w:r>
    </w:p>
    <w:p w14:paraId="7F5A7E6C" w14:textId="4B1D9F0D" w:rsidR="00CC212D" w:rsidRPr="00087404" w:rsidRDefault="00CC212D" w:rsidP="00967EB0">
      <w:pPr>
        <w:pStyle w:val="ListParagraph"/>
        <w:numPr>
          <w:ilvl w:val="0"/>
          <w:numId w:val="1"/>
        </w:numPr>
        <w:rPr>
          <w:b/>
          <w:bCs/>
          <w:u w:val="single"/>
        </w:rPr>
      </w:pPr>
      <w:r>
        <w:t xml:space="preserve">Over the course of the next 12 months (or timeframe to be determined) the Council introduces </w:t>
      </w:r>
      <w:r w:rsidR="0086563B">
        <w:t>policies and procedures for the management of the cemetery</w:t>
      </w:r>
      <w:r w:rsidR="006A7225">
        <w:t xml:space="preserve"> including reviewing our published regulations</w:t>
      </w:r>
      <w:r w:rsidR="006375C1">
        <w:t xml:space="preserve"> </w:t>
      </w:r>
      <w:r w:rsidR="006375C1" w:rsidRPr="009C45CE">
        <w:rPr>
          <w:i/>
          <w:iCs/>
        </w:rPr>
        <w:t>IMPACT on clerk’s working time</w:t>
      </w:r>
    </w:p>
    <w:p w14:paraId="1A8D2717" w14:textId="669B064B" w:rsidR="00087404" w:rsidRPr="00992D47" w:rsidRDefault="00087404" w:rsidP="00967EB0">
      <w:pPr>
        <w:pStyle w:val="ListParagraph"/>
        <w:numPr>
          <w:ilvl w:val="0"/>
          <w:numId w:val="1"/>
        </w:numPr>
        <w:rPr>
          <w:b/>
          <w:bCs/>
          <w:u w:val="single"/>
        </w:rPr>
      </w:pPr>
      <w:r>
        <w:t>Consider setting aside an ear-marked reserve for cemetery projects</w:t>
      </w:r>
      <w:r w:rsidR="006375C1" w:rsidRPr="009C45CE">
        <w:rPr>
          <w:i/>
          <w:iCs/>
        </w:rPr>
        <w:t xml:space="preserve"> IMPACT on other plans for reserves</w:t>
      </w:r>
    </w:p>
    <w:p w14:paraId="3334CE0C" w14:textId="21E512D1" w:rsidR="00992D47" w:rsidRPr="00967EB0" w:rsidRDefault="00992D47" w:rsidP="00967EB0">
      <w:pPr>
        <w:pStyle w:val="ListParagraph"/>
        <w:numPr>
          <w:ilvl w:val="0"/>
          <w:numId w:val="1"/>
        </w:numPr>
        <w:rPr>
          <w:b/>
          <w:bCs/>
          <w:u w:val="single"/>
        </w:rPr>
      </w:pPr>
      <w:r>
        <w:t>Agree how often to review cemetery fees</w:t>
      </w:r>
    </w:p>
    <w:p w14:paraId="5D77DAC7" w14:textId="77777777" w:rsidR="00967EB0" w:rsidRDefault="00967EB0" w:rsidP="007767F2"/>
    <w:p w14:paraId="5B26B12F" w14:textId="77777777" w:rsidR="006F6B50" w:rsidRPr="00FC2532" w:rsidRDefault="006F6B50" w:rsidP="007767F2"/>
    <w:p w14:paraId="24AF1471" w14:textId="2E77EFC6" w:rsidR="00954F35" w:rsidRDefault="0031571F" w:rsidP="0031571F">
      <w:pPr>
        <w:pStyle w:val="Heading2"/>
      </w:pPr>
      <w:r>
        <w:t>Table of a selection of fees charged nearby</w:t>
      </w:r>
    </w:p>
    <w:p w14:paraId="43C04463" w14:textId="77777777" w:rsidR="00992D47" w:rsidRDefault="00992D47" w:rsidP="00992D47"/>
    <w:p w14:paraId="6E07C268" w14:textId="2BFCC14D" w:rsidR="00992D47" w:rsidRPr="00992D47" w:rsidRDefault="00992D47" w:rsidP="00992D47">
      <w:r>
        <w:t>NOTE that Salisbury cemeteries are substantially more expensive</w:t>
      </w:r>
    </w:p>
    <w:p w14:paraId="0DC0AB75" w14:textId="77777777" w:rsidR="0031571F" w:rsidRDefault="0031571F" w:rsidP="007767F2"/>
    <w:tbl>
      <w:tblPr>
        <w:tblStyle w:val="TableGrid0"/>
        <w:tblW w:w="0" w:type="auto"/>
        <w:tblInd w:w="124" w:type="dxa"/>
        <w:tblLook w:val="04A0" w:firstRow="1" w:lastRow="0" w:firstColumn="1" w:lastColumn="0" w:noHBand="0" w:noVBand="1"/>
      </w:tblPr>
      <w:tblGrid>
        <w:gridCol w:w="1786"/>
        <w:gridCol w:w="1779"/>
        <w:gridCol w:w="1777"/>
        <w:gridCol w:w="1776"/>
        <w:gridCol w:w="1774"/>
      </w:tblGrid>
      <w:tr w:rsidR="00B741DA" w14:paraId="43594681" w14:textId="77777777" w:rsidTr="00216792">
        <w:tc>
          <w:tcPr>
            <w:tcW w:w="1803" w:type="dxa"/>
          </w:tcPr>
          <w:p w14:paraId="4C67DA68" w14:textId="77777777" w:rsidR="00216792" w:rsidRDefault="00216792" w:rsidP="007767F2">
            <w:pPr>
              <w:ind w:left="0" w:firstLine="0"/>
            </w:pPr>
          </w:p>
        </w:tc>
        <w:tc>
          <w:tcPr>
            <w:tcW w:w="1803" w:type="dxa"/>
          </w:tcPr>
          <w:p w14:paraId="473296AE" w14:textId="282D1509" w:rsidR="00216792" w:rsidRPr="00A15CEE" w:rsidRDefault="00A15CEE" w:rsidP="007767F2">
            <w:pPr>
              <w:ind w:left="0" w:firstLine="0"/>
              <w:rPr>
                <w:b/>
                <w:bCs/>
              </w:rPr>
            </w:pPr>
            <w:r w:rsidRPr="00A15CEE">
              <w:rPr>
                <w:b/>
                <w:bCs/>
              </w:rPr>
              <w:t>Alderbury</w:t>
            </w:r>
          </w:p>
        </w:tc>
        <w:tc>
          <w:tcPr>
            <w:tcW w:w="1803" w:type="dxa"/>
          </w:tcPr>
          <w:p w14:paraId="7ACB7550" w14:textId="6754371A" w:rsidR="00216792" w:rsidRPr="00A15CEE" w:rsidRDefault="00A15CEE" w:rsidP="007767F2">
            <w:pPr>
              <w:ind w:left="0" w:firstLine="0"/>
              <w:rPr>
                <w:b/>
                <w:bCs/>
              </w:rPr>
            </w:pPr>
            <w:r w:rsidRPr="00A15CEE">
              <w:rPr>
                <w:b/>
                <w:bCs/>
              </w:rPr>
              <w:t>Downton</w:t>
            </w:r>
          </w:p>
        </w:tc>
        <w:tc>
          <w:tcPr>
            <w:tcW w:w="1803" w:type="dxa"/>
          </w:tcPr>
          <w:p w14:paraId="6A6071AD" w14:textId="20EF9DAD" w:rsidR="00216792" w:rsidRPr="00A15CEE" w:rsidRDefault="00A15CEE" w:rsidP="007767F2">
            <w:pPr>
              <w:ind w:left="0" w:firstLine="0"/>
              <w:rPr>
                <w:b/>
                <w:bCs/>
              </w:rPr>
            </w:pPr>
            <w:r w:rsidRPr="00A15CEE">
              <w:rPr>
                <w:b/>
                <w:bCs/>
              </w:rPr>
              <w:t>Redlynch</w:t>
            </w:r>
          </w:p>
        </w:tc>
        <w:tc>
          <w:tcPr>
            <w:tcW w:w="1804" w:type="dxa"/>
          </w:tcPr>
          <w:p w14:paraId="10F5DE2E" w14:textId="158D21DF" w:rsidR="00216792" w:rsidRPr="00A15CEE" w:rsidRDefault="00A15CEE" w:rsidP="007767F2">
            <w:pPr>
              <w:ind w:left="0" w:firstLine="0"/>
              <w:rPr>
                <w:b/>
                <w:bCs/>
              </w:rPr>
            </w:pPr>
            <w:r w:rsidRPr="00A15CEE">
              <w:rPr>
                <w:b/>
                <w:bCs/>
              </w:rPr>
              <w:t>Wilton</w:t>
            </w:r>
          </w:p>
        </w:tc>
      </w:tr>
      <w:tr w:rsidR="00B741DA" w14:paraId="2F006C14" w14:textId="77777777" w:rsidTr="00216792">
        <w:tc>
          <w:tcPr>
            <w:tcW w:w="1803" w:type="dxa"/>
          </w:tcPr>
          <w:p w14:paraId="52F29AC1" w14:textId="1694D222" w:rsidR="00216792" w:rsidRDefault="00B741DA" w:rsidP="007767F2">
            <w:pPr>
              <w:ind w:left="0" w:firstLine="0"/>
            </w:pPr>
            <w:r>
              <w:t>Adult interment</w:t>
            </w:r>
          </w:p>
        </w:tc>
        <w:tc>
          <w:tcPr>
            <w:tcW w:w="1803" w:type="dxa"/>
          </w:tcPr>
          <w:p w14:paraId="4027BA6D" w14:textId="3587B37B" w:rsidR="00216792" w:rsidRDefault="0034667A" w:rsidP="007767F2">
            <w:pPr>
              <w:ind w:left="0" w:firstLine="0"/>
            </w:pPr>
            <w:r>
              <w:t>150</w:t>
            </w:r>
          </w:p>
        </w:tc>
        <w:tc>
          <w:tcPr>
            <w:tcW w:w="1803" w:type="dxa"/>
          </w:tcPr>
          <w:p w14:paraId="4F27B90B" w14:textId="7304664A" w:rsidR="00216792" w:rsidRDefault="00B741DA" w:rsidP="007767F2">
            <w:pPr>
              <w:ind w:left="0" w:firstLine="0"/>
            </w:pPr>
            <w:r>
              <w:t>171</w:t>
            </w:r>
          </w:p>
        </w:tc>
        <w:tc>
          <w:tcPr>
            <w:tcW w:w="1803" w:type="dxa"/>
          </w:tcPr>
          <w:p w14:paraId="41F2C5D8" w14:textId="10EDAFFF" w:rsidR="00216792" w:rsidRDefault="00EA3CA6" w:rsidP="007767F2">
            <w:pPr>
              <w:ind w:left="0" w:firstLine="0"/>
            </w:pPr>
            <w:r>
              <w:t>Included</w:t>
            </w:r>
          </w:p>
        </w:tc>
        <w:tc>
          <w:tcPr>
            <w:tcW w:w="1804" w:type="dxa"/>
          </w:tcPr>
          <w:p w14:paraId="199CCA0F" w14:textId="37D46C44" w:rsidR="00216792" w:rsidRDefault="00EF770F" w:rsidP="007767F2">
            <w:pPr>
              <w:ind w:left="0" w:firstLine="0"/>
            </w:pPr>
            <w:r>
              <w:t>315</w:t>
            </w:r>
          </w:p>
        </w:tc>
      </w:tr>
      <w:tr w:rsidR="00B741DA" w14:paraId="1308D332" w14:textId="77777777" w:rsidTr="00216792">
        <w:tc>
          <w:tcPr>
            <w:tcW w:w="1803" w:type="dxa"/>
          </w:tcPr>
          <w:p w14:paraId="3E3F11CF" w14:textId="71B13CA0" w:rsidR="00216792" w:rsidRDefault="00B741DA" w:rsidP="007767F2">
            <w:pPr>
              <w:ind w:left="0" w:firstLine="0"/>
            </w:pPr>
            <w:r>
              <w:t>Ashes interment</w:t>
            </w:r>
          </w:p>
        </w:tc>
        <w:tc>
          <w:tcPr>
            <w:tcW w:w="1803" w:type="dxa"/>
          </w:tcPr>
          <w:p w14:paraId="149B042C" w14:textId="5E989113" w:rsidR="00216792" w:rsidRDefault="0034667A" w:rsidP="007767F2">
            <w:pPr>
              <w:ind w:left="0" w:firstLine="0"/>
            </w:pPr>
            <w:r>
              <w:t>75</w:t>
            </w:r>
          </w:p>
        </w:tc>
        <w:tc>
          <w:tcPr>
            <w:tcW w:w="1803" w:type="dxa"/>
          </w:tcPr>
          <w:p w14:paraId="19FBDAE3" w14:textId="53A89266" w:rsidR="00216792" w:rsidRDefault="00B741DA" w:rsidP="007767F2">
            <w:pPr>
              <w:ind w:left="0" w:firstLine="0"/>
            </w:pPr>
            <w:r>
              <w:t>99</w:t>
            </w:r>
          </w:p>
        </w:tc>
        <w:tc>
          <w:tcPr>
            <w:tcW w:w="1803" w:type="dxa"/>
          </w:tcPr>
          <w:p w14:paraId="6E08F434" w14:textId="47A71EDE" w:rsidR="00216792" w:rsidRDefault="00EA3CA6" w:rsidP="007767F2">
            <w:pPr>
              <w:ind w:left="0" w:firstLine="0"/>
            </w:pPr>
            <w:r>
              <w:t>included</w:t>
            </w:r>
          </w:p>
        </w:tc>
        <w:tc>
          <w:tcPr>
            <w:tcW w:w="1804" w:type="dxa"/>
          </w:tcPr>
          <w:p w14:paraId="688D6281" w14:textId="343B2ED4" w:rsidR="00216792" w:rsidRDefault="00427B7A" w:rsidP="007767F2">
            <w:pPr>
              <w:ind w:left="0" w:firstLine="0"/>
            </w:pPr>
            <w:r>
              <w:t>125</w:t>
            </w:r>
          </w:p>
        </w:tc>
      </w:tr>
      <w:tr w:rsidR="00B741DA" w14:paraId="2F9DF773" w14:textId="77777777" w:rsidTr="00216792">
        <w:tc>
          <w:tcPr>
            <w:tcW w:w="1803" w:type="dxa"/>
          </w:tcPr>
          <w:p w14:paraId="549AE0F5" w14:textId="1633FC0A" w:rsidR="00216792" w:rsidRDefault="00B741DA" w:rsidP="007767F2">
            <w:pPr>
              <w:ind w:left="0" w:firstLine="0"/>
            </w:pPr>
            <w:r>
              <w:t>Double depth E</w:t>
            </w:r>
            <w:r w:rsidR="0099145A">
              <w:t>r</w:t>
            </w:r>
            <w:r>
              <w:t>oB</w:t>
            </w:r>
            <w:r w:rsidR="0099145A">
              <w:t xml:space="preserve"> burial</w:t>
            </w:r>
          </w:p>
        </w:tc>
        <w:tc>
          <w:tcPr>
            <w:tcW w:w="1803" w:type="dxa"/>
          </w:tcPr>
          <w:p w14:paraId="54B4EEE5" w14:textId="593D7FF5" w:rsidR="00216792" w:rsidRDefault="002F06A0" w:rsidP="007767F2">
            <w:pPr>
              <w:ind w:left="0" w:firstLine="0"/>
            </w:pPr>
            <w:r>
              <w:t>300</w:t>
            </w:r>
          </w:p>
        </w:tc>
        <w:tc>
          <w:tcPr>
            <w:tcW w:w="1803" w:type="dxa"/>
          </w:tcPr>
          <w:p w14:paraId="3C3DA381" w14:textId="3A72574F" w:rsidR="00216792" w:rsidRDefault="0099145A" w:rsidP="007767F2">
            <w:pPr>
              <w:ind w:left="0" w:firstLine="0"/>
            </w:pPr>
            <w:r>
              <w:t>463</w:t>
            </w:r>
          </w:p>
        </w:tc>
        <w:tc>
          <w:tcPr>
            <w:tcW w:w="1803" w:type="dxa"/>
          </w:tcPr>
          <w:p w14:paraId="23B65D50" w14:textId="665091FE" w:rsidR="00216792" w:rsidRDefault="001249B2" w:rsidP="007767F2">
            <w:pPr>
              <w:ind w:left="0" w:firstLine="0"/>
            </w:pPr>
            <w:r>
              <w:t>266</w:t>
            </w:r>
          </w:p>
        </w:tc>
        <w:tc>
          <w:tcPr>
            <w:tcW w:w="1804" w:type="dxa"/>
          </w:tcPr>
          <w:p w14:paraId="26268A8D" w14:textId="77C8E7F4" w:rsidR="00216792" w:rsidRDefault="00AB23C7" w:rsidP="007767F2">
            <w:pPr>
              <w:ind w:left="0" w:firstLine="0"/>
            </w:pPr>
            <w:r>
              <w:t>310</w:t>
            </w:r>
          </w:p>
        </w:tc>
      </w:tr>
      <w:tr w:rsidR="00B741DA" w14:paraId="48801145" w14:textId="77777777" w:rsidTr="00216792">
        <w:tc>
          <w:tcPr>
            <w:tcW w:w="1803" w:type="dxa"/>
          </w:tcPr>
          <w:p w14:paraId="5A2AC168" w14:textId="7FD07470" w:rsidR="00216792" w:rsidRDefault="0099145A" w:rsidP="007767F2">
            <w:pPr>
              <w:ind w:left="0" w:firstLine="0"/>
            </w:pPr>
            <w:r>
              <w:t>Cremation plot ERoB</w:t>
            </w:r>
          </w:p>
        </w:tc>
        <w:tc>
          <w:tcPr>
            <w:tcW w:w="1803" w:type="dxa"/>
          </w:tcPr>
          <w:p w14:paraId="354A8953" w14:textId="63D58127" w:rsidR="00216792" w:rsidRDefault="0034667A" w:rsidP="007767F2">
            <w:pPr>
              <w:ind w:left="0" w:firstLine="0"/>
            </w:pPr>
            <w:r>
              <w:t>100</w:t>
            </w:r>
          </w:p>
        </w:tc>
        <w:tc>
          <w:tcPr>
            <w:tcW w:w="1803" w:type="dxa"/>
          </w:tcPr>
          <w:p w14:paraId="07830721" w14:textId="1A4D1A33" w:rsidR="00216792" w:rsidRDefault="00E07C02" w:rsidP="007767F2">
            <w:pPr>
              <w:ind w:left="0" w:firstLine="0"/>
            </w:pPr>
            <w:r>
              <w:t>135</w:t>
            </w:r>
          </w:p>
        </w:tc>
        <w:tc>
          <w:tcPr>
            <w:tcW w:w="1803" w:type="dxa"/>
          </w:tcPr>
          <w:p w14:paraId="48B52586" w14:textId="099EF78B" w:rsidR="00216792" w:rsidRDefault="001249B2" w:rsidP="007767F2">
            <w:pPr>
              <w:ind w:left="0" w:firstLine="0"/>
            </w:pPr>
            <w:r>
              <w:t>179</w:t>
            </w:r>
          </w:p>
        </w:tc>
        <w:tc>
          <w:tcPr>
            <w:tcW w:w="1804" w:type="dxa"/>
          </w:tcPr>
          <w:p w14:paraId="686D69C8" w14:textId="000C752C" w:rsidR="00216792" w:rsidRDefault="00AB23C7" w:rsidP="007767F2">
            <w:pPr>
              <w:ind w:left="0" w:firstLine="0"/>
            </w:pPr>
            <w:r>
              <w:t>135</w:t>
            </w:r>
          </w:p>
        </w:tc>
      </w:tr>
      <w:tr w:rsidR="008551C9" w14:paraId="07C4F33B" w14:textId="77777777" w:rsidTr="00216792">
        <w:tc>
          <w:tcPr>
            <w:tcW w:w="1803" w:type="dxa"/>
          </w:tcPr>
          <w:p w14:paraId="68E3A43D" w14:textId="07988215" w:rsidR="008551C9" w:rsidRDefault="008551C9" w:rsidP="007767F2">
            <w:pPr>
              <w:ind w:left="0" w:firstLine="0"/>
            </w:pPr>
            <w:r>
              <w:t>Assignment</w:t>
            </w:r>
          </w:p>
        </w:tc>
        <w:tc>
          <w:tcPr>
            <w:tcW w:w="1803" w:type="dxa"/>
          </w:tcPr>
          <w:p w14:paraId="0020A1BD" w14:textId="77777777" w:rsidR="008551C9" w:rsidRDefault="008551C9" w:rsidP="007767F2">
            <w:pPr>
              <w:ind w:left="0" w:firstLine="0"/>
            </w:pPr>
          </w:p>
        </w:tc>
        <w:tc>
          <w:tcPr>
            <w:tcW w:w="1803" w:type="dxa"/>
          </w:tcPr>
          <w:p w14:paraId="7EE98083" w14:textId="77777777" w:rsidR="008551C9" w:rsidRDefault="008551C9" w:rsidP="007767F2">
            <w:pPr>
              <w:ind w:left="0" w:firstLine="0"/>
            </w:pPr>
          </w:p>
        </w:tc>
        <w:tc>
          <w:tcPr>
            <w:tcW w:w="1803" w:type="dxa"/>
          </w:tcPr>
          <w:p w14:paraId="5EF40BEA" w14:textId="77777777" w:rsidR="008551C9" w:rsidRDefault="008551C9" w:rsidP="007767F2">
            <w:pPr>
              <w:ind w:left="0" w:firstLine="0"/>
            </w:pPr>
          </w:p>
        </w:tc>
        <w:tc>
          <w:tcPr>
            <w:tcW w:w="1804" w:type="dxa"/>
          </w:tcPr>
          <w:p w14:paraId="5379EEA4" w14:textId="598F6426" w:rsidR="008551C9" w:rsidRDefault="008551C9" w:rsidP="007767F2">
            <w:pPr>
              <w:ind w:left="0" w:firstLine="0"/>
            </w:pPr>
            <w:r>
              <w:t>50</w:t>
            </w:r>
          </w:p>
        </w:tc>
      </w:tr>
      <w:tr w:rsidR="00B741DA" w14:paraId="6992E8FB" w14:textId="77777777" w:rsidTr="00216792">
        <w:tc>
          <w:tcPr>
            <w:tcW w:w="1803" w:type="dxa"/>
          </w:tcPr>
          <w:p w14:paraId="74236851" w14:textId="055D7BFD" w:rsidR="00216792" w:rsidRDefault="00E07C02" w:rsidP="007767F2">
            <w:pPr>
              <w:ind w:left="0" w:firstLine="0"/>
            </w:pPr>
            <w:r>
              <w:t>Headstone</w:t>
            </w:r>
          </w:p>
        </w:tc>
        <w:tc>
          <w:tcPr>
            <w:tcW w:w="1803" w:type="dxa"/>
          </w:tcPr>
          <w:p w14:paraId="0D65ECFB" w14:textId="224610E6" w:rsidR="00216792" w:rsidRDefault="003A1E6B" w:rsidP="007767F2">
            <w:pPr>
              <w:ind w:left="0" w:firstLine="0"/>
            </w:pPr>
            <w:r>
              <w:t>100</w:t>
            </w:r>
          </w:p>
        </w:tc>
        <w:tc>
          <w:tcPr>
            <w:tcW w:w="1803" w:type="dxa"/>
          </w:tcPr>
          <w:p w14:paraId="1A410EE9" w14:textId="7770FB8F" w:rsidR="00216792" w:rsidRDefault="00E07C02" w:rsidP="007767F2">
            <w:pPr>
              <w:ind w:left="0" w:firstLine="0"/>
            </w:pPr>
            <w:r>
              <w:t>191</w:t>
            </w:r>
          </w:p>
        </w:tc>
        <w:tc>
          <w:tcPr>
            <w:tcW w:w="1803" w:type="dxa"/>
          </w:tcPr>
          <w:p w14:paraId="4CE5BD30" w14:textId="722B03F7" w:rsidR="00216792" w:rsidRDefault="00EA3CA6" w:rsidP="007767F2">
            <w:pPr>
              <w:ind w:left="0" w:firstLine="0"/>
            </w:pPr>
            <w:r>
              <w:t>I</w:t>
            </w:r>
            <w:r w:rsidR="001249B2">
              <w:t>ncluded</w:t>
            </w:r>
          </w:p>
        </w:tc>
        <w:tc>
          <w:tcPr>
            <w:tcW w:w="1804" w:type="dxa"/>
          </w:tcPr>
          <w:p w14:paraId="2497AB4A" w14:textId="3C44CC88" w:rsidR="00216792" w:rsidRDefault="00921A48" w:rsidP="007767F2">
            <w:pPr>
              <w:ind w:left="0" w:firstLine="0"/>
            </w:pPr>
            <w:r>
              <w:t>95</w:t>
            </w:r>
          </w:p>
        </w:tc>
      </w:tr>
      <w:tr w:rsidR="00B741DA" w14:paraId="6C713B59" w14:textId="77777777" w:rsidTr="00216792">
        <w:tc>
          <w:tcPr>
            <w:tcW w:w="1803" w:type="dxa"/>
          </w:tcPr>
          <w:p w14:paraId="4400E0BE" w14:textId="007A7D28" w:rsidR="00216792" w:rsidRDefault="00E07C02" w:rsidP="007767F2">
            <w:pPr>
              <w:ind w:left="0" w:firstLine="0"/>
            </w:pPr>
            <w:r>
              <w:t xml:space="preserve">Flat </w:t>
            </w:r>
            <w:r w:rsidR="002F06A0">
              <w:t>cremation plot stone</w:t>
            </w:r>
          </w:p>
        </w:tc>
        <w:tc>
          <w:tcPr>
            <w:tcW w:w="1803" w:type="dxa"/>
          </w:tcPr>
          <w:p w14:paraId="70BAA0A7" w14:textId="78F0141F" w:rsidR="00216792" w:rsidRDefault="003A1E6B" w:rsidP="007767F2">
            <w:pPr>
              <w:ind w:left="0" w:firstLine="0"/>
            </w:pPr>
            <w:r>
              <w:t>50</w:t>
            </w:r>
          </w:p>
        </w:tc>
        <w:tc>
          <w:tcPr>
            <w:tcW w:w="1803" w:type="dxa"/>
          </w:tcPr>
          <w:p w14:paraId="42B21962" w14:textId="4AAFF6C4" w:rsidR="00216792" w:rsidRDefault="002F06A0" w:rsidP="007767F2">
            <w:pPr>
              <w:ind w:left="0" w:firstLine="0"/>
            </w:pPr>
            <w:r>
              <w:t>40</w:t>
            </w:r>
          </w:p>
        </w:tc>
        <w:tc>
          <w:tcPr>
            <w:tcW w:w="1803" w:type="dxa"/>
          </w:tcPr>
          <w:p w14:paraId="4584A20A" w14:textId="5E3B4027" w:rsidR="00216792" w:rsidRDefault="00EA3CA6" w:rsidP="007767F2">
            <w:pPr>
              <w:ind w:left="0" w:firstLine="0"/>
            </w:pPr>
            <w:r>
              <w:t>included</w:t>
            </w:r>
          </w:p>
        </w:tc>
        <w:tc>
          <w:tcPr>
            <w:tcW w:w="1804" w:type="dxa"/>
          </w:tcPr>
          <w:p w14:paraId="0C492085" w14:textId="3F3A6225" w:rsidR="00216792" w:rsidRDefault="003264CE" w:rsidP="007767F2">
            <w:pPr>
              <w:ind w:left="0" w:firstLine="0"/>
            </w:pPr>
            <w:r>
              <w:t>50/55</w:t>
            </w:r>
          </w:p>
        </w:tc>
      </w:tr>
      <w:tr w:rsidR="00B741DA" w14:paraId="61D5D7C9" w14:textId="77777777" w:rsidTr="00216792">
        <w:tc>
          <w:tcPr>
            <w:tcW w:w="1803" w:type="dxa"/>
          </w:tcPr>
          <w:p w14:paraId="4EFEA58A" w14:textId="01BBEEE1" w:rsidR="00216792" w:rsidRDefault="003A1E6B" w:rsidP="007767F2">
            <w:pPr>
              <w:ind w:left="0" w:firstLine="0"/>
            </w:pPr>
            <w:r>
              <w:t>Non parishioners</w:t>
            </w:r>
          </w:p>
        </w:tc>
        <w:tc>
          <w:tcPr>
            <w:tcW w:w="1803" w:type="dxa"/>
          </w:tcPr>
          <w:p w14:paraId="1A2181AB" w14:textId="63ABD50A" w:rsidR="00216792" w:rsidRDefault="003A1E6B" w:rsidP="007767F2">
            <w:pPr>
              <w:ind w:left="0" w:firstLine="0"/>
            </w:pPr>
            <w:r>
              <w:t>trebled</w:t>
            </w:r>
          </w:p>
        </w:tc>
        <w:tc>
          <w:tcPr>
            <w:tcW w:w="1803" w:type="dxa"/>
          </w:tcPr>
          <w:p w14:paraId="12782B21" w14:textId="22FB4626" w:rsidR="00216792" w:rsidRDefault="0031571F" w:rsidP="007767F2">
            <w:pPr>
              <w:ind w:left="0" w:firstLine="0"/>
            </w:pPr>
            <w:r>
              <w:t>n/a</w:t>
            </w:r>
          </w:p>
        </w:tc>
        <w:tc>
          <w:tcPr>
            <w:tcW w:w="1803" w:type="dxa"/>
          </w:tcPr>
          <w:p w14:paraId="271B58B2" w14:textId="31A56239" w:rsidR="00216792" w:rsidRDefault="00EA3CA6" w:rsidP="007767F2">
            <w:pPr>
              <w:ind w:left="0" w:firstLine="0"/>
            </w:pPr>
            <w:r>
              <w:t>Roughly trebled</w:t>
            </w:r>
          </w:p>
        </w:tc>
        <w:tc>
          <w:tcPr>
            <w:tcW w:w="1804" w:type="dxa"/>
          </w:tcPr>
          <w:p w14:paraId="5F2677FC" w14:textId="698D5991" w:rsidR="00216792" w:rsidRDefault="00EF770F" w:rsidP="007767F2">
            <w:pPr>
              <w:ind w:left="0" w:firstLine="0"/>
            </w:pPr>
            <w:r>
              <w:t>doubled</w:t>
            </w:r>
          </w:p>
        </w:tc>
      </w:tr>
    </w:tbl>
    <w:p w14:paraId="08CF213A" w14:textId="77777777" w:rsidR="00464992" w:rsidRDefault="00464992" w:rsidP="007767F2"/>
    <w:p w14:paraId="3879F167" w14:textId="77777777" w:rsidR="00775A5C" w:rsidRDefault="00775A5C" w:rsidP="007767F2"/>
    <w:p w14:paraId="4DD25BFC" w14:textId="219FCCA4" w:rsidR="00436274" w:rsidRDefault="00436274" w:rsidP="0031571F"/>
    <w:sectPr w:rsidR="004362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F4132"/>
    <w:multiLevelType w:val="hybridMultilevel"/>
    <w:tmpl w:val="ACDE4820"/>
    <w:lvl w:ilvl="0" w:tplc="0809000F">
      <w:start w:val="1"/>
      <w:numFmt w:val="decimal"/>
      <w:lvlText w:val="%1."/>
      <w:lvlJc w:val="left"/>
      <w:pPr>
        <w:ind w:left="880" w:hanging="360"/>
      </w:pPr>
    </w:lvl>
    <w:lvl w:ilvl="1" w:tplc="08090019" w:tentative="1">
      <w:start w:val="1"/>
      <w:numFmt w:val="lowerLetter"/>
      <w:lvlText w:val="%2."/>
      <w:lvlJc w:val="left"/>
      <w:pPr>
        <w:ind w:left="1600" w:hanging="360"/>
      </w:pPr>
    </w:lvl>
    <w:lvl w:ilvl="2" w:tplc="0809001B" w:tentative="1">
      <w:start w:val="1"/>
      <w:numFmt w:val="lowerRoman"/>
      <w:lvlText w:val="%3."/>
      <w:lvlJc w:val="right"/>
      <w:pPr>
        <w:ind w:left="2320" w:hanging="180"/>
      </w:pPr>
    </w:lvl>
    <w:lvl w:ilvl="3" w:tplc="0809000F" w:tentative="1">
      <w:start w:val="1"/>
      <w:numFmt w:val="decimal"/>
      <w:lvlText w:val="%4."/>
      <w:lvlJc w:val="left"/>
      <w:pPr>
        <w:ind w:left="3040" w:hanging="360"/>
      </w:pPr>
    </w:lvl>
    <w:lvl w:ilvl="4" w:tplc="08090019" w:tentative="1">
      <w:start w:val="1"/>
      <w:numFmt w:val="lowerLetter"/>
      <w:lvlText w:val="%5."/>
      <w:lvlJc w:val="left"/>
      <w:pPr>
        <w:ind w:left="3760" w:hanging="360"/>
      </w:pPr>
    </w:lvl>
    <w:lvl w:ilvl="5" w:tplc="0809001B" w:tentative="1">
      <w:start w:val="1"/>
      <w:numFmt w:val="lowerRoman"/>
      <w:lvlText w:val="%6."/>
      <w:lvlJc w:val="right"/>
      <w:pPr>
        <w:ind w:left="4480" w:hanging="180"/>
      </w:pPr>
    </w:lvl>
    <w:lvl w:ilvl="6" w:tplc="0809000F" w:tentative="1">
      <w:start w:val="1"/>
      <w:numFmt w:val="decimal"/>
      <w:lvlText w:val="%7."/>
      <w:lvlJc w:val="left"/>
      <w:pPr>
        <w:ind w:left="5200" w:hanging="360"/>
      </w:pPr>
    </w:lvl>
    <w:lvl w:ilvl="7" w:tplc="08090019" w:tentative="1">
      <w:start w:val="1"/>
      <w:numFmt w:val="lowerLetter"/>
      <w:lvlText w:val="%8."/>
      <w:lvlJc w:val="left"/>
      <w:pPr>
        <w:ind w:left="5920" w:hanging="360"/>
      </w:pPr>
    </w:lvl>
    <w:lvl w:ilvl="8" w:tplc="0809001B" w:tentative="1">
      <w:start w:val="1"/>
      <w:numFmt w:val="lowerRoman"/>
      <w:lvlText w:val="%9."/>
      <w:lvlJc w:val="right"/>
      <w:pPr>
        <w:ind w:left="6640" w:hanging="180"/>
      </w:pPr>
    </w:lvl>
  </w:abstractNum>
  <w:abstractNum w:abstractNumId="1" w15:restartNumberingAfterBreak="0">
    <w:nsid w:val="7BB75E95"/>
    <w:multiLevelType w:val="hybridMultilevel"/>
    <w:tmpl w:val="957AFB60"/>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num w:numId="1" w16cid:durableId="1292324822">
    <w:abstractNumId w:val="1"/>
  </w:num>
  <w:num w:numId="2" w16cid:durableId="22562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7F2"/>
    <w:rsid w:val="00005A58"/>
    <w:rsid w:val="00015F2E"/>
    <w:rsid w:val="00087404"/>
    <w:rsid w:val="0011008C"/>
    <w:rsid w:val="001249B2"/>
    <w:rsid w:val="0017212E"/>
    <w:rsid w:val="002155DD"/>
    <w:rsid w:val="00216792"/>
    <w:rsid w:val="00246C3E"/>
    <w:rsid w:val="00260324"/>
    <w:rsid w:val="0027348A"/>
    <w:rsid w:val="002F06A0"/>
    <w:rsid w:val="0031571F"/>
    <w:rsid w:val="003238B4"/>
    <w:rsid w:val="003264CE"/>
    <w:rsid w:val="00344612"/>
    <w:rsid w:val="0034667A"/>
    <w:rsid w:val="003A1E6B"/>
    <w:rsid w:val="003B1E4D"/>
    <w:rsid w:val="003D1107"/>
    <w:rsid w:val="003E3AFD"/>
    <w:rsid w:val="003F27AF"/>
    <w:rsid w:val="00427B7A"/>
    <w:rsid w:val="00436274"/>
    <w:rsid w:val="0046399F"/>
    <w:rsid w:val="00464992"/>
    <w:rsid w:val="004A7D3A"/>
    <w:rsid w:val="004B5842"/>
    <w:rsid w:val="00511365"/>
    <w:rsid w:val="00513E14"/>
    <w:rsid w:val="00540073"/>
    <w:rsid w:val="00576303"/>
    <w:rsid w:val="005835E9"/>
    <w:rsid w:val="005C49FC"/>
    <w:rsid w:val="00625B57"/>
    <w:rsid w:val="006271DE"/>
    <w:rsid w:val="006375C1"/>
    <w:rsid w:val="00657CEB"/>
    <w:rsid w:val="006A7225"/>
    <w:rsid w:val="006F6B50"/>
    <w:rsid w:val="00736C9C"/>
    <w:rsid w:val="00775A5C"/>
    <w:rsid w:val="007767F2"/>
    <w:rsid w:val="00780242"/>
    <w:rsid w:val="007C53CE"/>
    <w:rsid w:val="00807332"/>
    <w:rsid w:val="008551C9"/>
    <w:rsid w:val="0086563B"/>
    <w:rsid w:val="008A26F1"/>
    <w:rsid w:val="008B03A1"/>
    <w:rsid w:val="008F4BA6"/>
    <w:rsid w:val="00921A48"/>
    <w:rsid w:val="009329DA"/>
    <w:rsid w:val="00954F35"/>
    <w:rsid w:val="009653ED"/>
    <w:rsid w:val="00967EB0"/>
    <w:rsid w:val="0099145A"/>
    <w:rsid w:val="00992D47"/>
    <w:rsid w:val="009C45CE"/>
    <w:rsid w:val="00A02FF0"/>
    <w:rsid w:val="00A03D36"/>
    <w:rsid w:val="00A15CEE"/>
    <w:rsid w:val="00A31830"/>
    <w:rsid w:val="00AB23C7"/>
    <w:rsid w:val="00AB71C2"/>
    <w:rsid w:val="00B16DA3"/>
    <w:rsid w:val="00B4318A"/>
    <w:rsid w:val="00B4476F"/>
    <w:rsid w:val="00B53DAA"/>
    <w:rsid w:val="00B741DA"/>
    <w:rsid w:val="00B933CB"/>
    <w:rsid w:val="00BA3A5C"/>
    <w:rsid w:val="00BC393B"/>
    <w:rsid w:val="00BC4475"/>
    <w:rsid w:val="00BE3548"/>
    <w:rsid w:val="00BE628A"/>
    <w:rsid w:val="00BF24B0"/>
    <w:rsid w:val="00C46624"/>
    <w:rsid w:val="00C94F45"/>
    <w:rsid w:val="00CC212D"/>
    <w:rsid w:val="00CD3849"/>
    <w:rsid w:val="00D01E8E"/>
    <w:rsid w:val="00D32EA2"/>
    <w:rsid w:val="00D65677"/>
    <w:rsid w:val="00D834B4"/>
    <w:rsid w:val="00DB5556"/>
    <w:rsid w:val="00DE47F2"/>
    <w:rsid w:val="00E07C02"/>
    <w:rsid w:val="00E575EE"/>
    <w:rsid w:val="00E6725C"/>
    <w:rsid w:val="00E818C1"/>
    <w:rsid w:val="00E86CCB"/>
    <w:rsid w:val="00EA3CA6"/>
    <w:rsid w:val="00EB0985"/>
    <w:rsid w:val="00ED0BBE"/>
    <w:rsid w:val="00EE231C"/>
    <w:rsid w:val="00EF770F"/>
    <w:rsid w:val="00F05680"/>
    <w:rsid w:val="00F16C90"/>
    <w:rsid w:val="00FC2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B5B2D"/>
  <w15:chartTrackingRefBased/>
  <w15:docId w15:val="{FF809A6E-CF94-4ABA-AFAD-BAD18B79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5" w:line="250" w:lineRule="auto"/>
        <w:ind w:left="833"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24" w:hanging="11"/>
    </w:pPr>
  </w:style>
  <w:style w:type="paragraph" w:styleId="Heading1">
    <w:name w:val="heading 1"/>
    <w:basedOn w:val="Normal"/>
    <w:next w:val="Normal"/>
    <w:link w:val="Heading1Char"/>
    <w:uiPriority w:val="9"/>
    <w:qFormat/>
    <w:rsid w:val="003D11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57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767F2"/>
    <w:pPr>
      <w:spacing w:after="0" w:line="240" w:lineRule="auto"/>
      <w:ind w:left="0" w:firstLine="0"/>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67EB0"/>
    <w:pPr>
      <w:ind w:left="720"/>
      <w:contextualSpacing/>
    </w:pPr>
  </w:style>
  <w:style w:type="character" w:customStyle="1" w:styleId="Heading1Char">
    <w:name w:val="Heading 1 Char"/>
    <w:basedOn w:val="DefaultParagraphFont"/>
    <w:link w:val="Heading1"/>
    <w:uiPriority w:val="9"/>
    <w:rsid w:val="003D1107"/>
    <w:rPr>
      <w:rFonts w:asciiTheme="majorHAnsi" w:eastAsiaTheme="majorEastAsia" w:hAnsiTheme="majorHAnsi" w:cstheme="majorBidi"/>
      <w:color w:val="2F5496" w:themeColor="accent1" w:themeShade="BF"/>
      <w:sz w:val="32"/>
      <w:szCs w:val="32"/>
    </w:rPr>
  </w:style>
  <w:style w:type="table" w:styleId="TableGrid0">
    <w:name w:val="Table Grid"/>
    <w:basedOn w:val="TableNormal"/>
    <w:uiPriority w:val="39"/>
    <w:rsid w:val="0021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1571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Alderbury Parish Council Parish Clerk</dc:creator>
  <cp:keywords/>
  <dc:description/>
  <cp:lastModifiedBy>Alderbury Parish Clerk</cp:lastModifiedBy>
  <cp:revision>2</cp:revision>
  <dcterms:created xsi:type="dcterms:W3CDTF">2024-01-28T11:26:00Z</dcterms:created>
  <dcterms:modified xsi:type="dcterms:W3CDTF">2024-01-28T11:26:00Z</dcterms:modified>
</cp:coreProperties>
</file>