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9831" w14:textId="77777777" w:rsidR="00221480" w:rsidRDefault="00221480">
      <w:pPr>
        <w:pStyle w:val="Title"/>
        <w:kinsoku w:val="0"/>
        <w:overflowPunct w:val="0"/>
        <w:rPr>
          <w:spacing w:val="-2"/>
        </w:rPr>
      </w:pPr>
      <w:r>
        <w:t>PARISH</w:t>
      </w:r>
      <w:r>
        <w:rPr>
          <w:spacing w:val="-6"/>
        </w:rPr>
        <w:t xml:space="preserve"> </w:t>
      </w:r>
      <w:r>
        <w:rPr>
          <w:spacing w:val="-2"/>
        </w:rPr>
        <w:t>COUNCIL</w:t>
      </w:r>
    </w:p>
    <w:p w14:paraId="3ADD86A3" w14:textId="77777777" w:rsidR="00221480" w:rsidRDefault="00221480">
      <w:pPr>
        <w:pStyle w:val="BodyText"/>
        <w:kinsoku w:val="0"/>
        <w:overflowPunct w:val="0"/>
        <w:spacing w:before="10"/>
        <w:rPr>
          <w:sz w:val="27"/>
          <w:szCs w:val="27"/>
        </w:rPr>
      </w:pPr>
    </w:p>
    <w:p w14:paraId="5F82F833" w14:textId="77777777" w:rsidR="00221480" w:rsidRDefault="00221480">
      <w:pPr>
        <w:pStyle w:val="BodyText"/>
        <w:kinsoku w:val="0"/>
        <w:overflowPunct w:val="0"/>
        <w:ind w:left="1755" w:right="1994"/>
        <w:jc w:val="center"/>
        <w:rPr>
          <w:sz w:val="24"/>
          <w:szCs w:val="24"/>
        </w:rPr>
      </w:pPr>
      <w:r>
        <w:rPr>
          <w:sz w:val="24"/>
          <w:szCs w:val="24"/>
        </w:rPr>
        <w:t>Application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Grant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Voluntary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Organisations Local Government Act 1972, Section 137</w:t>
      </w:r>
    </w:p>
    <w:p w14:paraId="3E78A654" w14:textId="77777777" w:rsidR="00221480" w:rsidRDefault="00221480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14:paraId="3591AA46" w14:textId="77777777" w:rsidR="00221480" w:rsidRDefault="00221480">
      <w:pPr>
        <w:pStyle w:val="BodyText"/>
        <w:kinsoku w:val="0"/>
        <w:overflowPunct w:val="0"/>
        <w:spacing w:before="1"/>
        <w:ind w:left="217" w:right="454"/>
        <w:jc w:val="both"/>
      </w:pPr>
      <w:r>
        <w:t>Please note that this application will not be considered unless it is accompanied by a copy of the latest 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accounts</w:t>
      </w:r>
      <w:r>
        <w:rPr>
          <w:spacing w:val="-4"/>
        </w:rPr>
        <w:t xml:space="preserve"> </w:t>
      </w:r>
      <w:r>
        <w:t>showing the organisations</w:t>
      </w:r>
      <w:r>
        <w:rPr>
          <w:spacing w:val="-1"/>
        </w:rPr>
        <w:t xml:space="preserve"> </w:t>
      </w:r>
      <w:r>
        <w:t>income,</w:t>
      </w:r>
      <w:r>
        <w:rPr>
          <w:spacing w:val="-3"/>
        </w:rPr>
        <w:t xml:space="preserve"> </w:t>
      </w:r>
      <w:r>
        <w:t>expenditure and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 balances. If the organisation does not prepare annual accounts, copies of the bank statements covering the previous six months must be enclosed.</w:t>
      </w:r>
    </w:p>
    <w:p w14:paraId="303E1D64" w14:textId="77777777" w:rsidR="00221480" w:rsidRDefault="00221480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967"/>
        <w:gridCol w:w="4253"/>
      </w:tblGrid>
      <w:tr w:rsidR="00CA2C39" w14:paraId="5300425E" w14:textId="77777777">
        <w:trPr>
          <w:trHeight w:val="6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56A0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73DA1509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DD1A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2EDFF867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0"/>
                <w:szCs w:val="20"/>
              </w:rPr>
            </w:pPr>
            <w:bookmarkStart w:id="0" w:name="Name_of_Organisation"/>
            <w:bookmarkEnd w:id="0"/>
            <w:r>
              <w:rPr>
                <w:sz w:val="20"/>
                <w:szCs w:val="20"/>
              </w:rPr>
              <w:t>Name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Organisation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459B" w14:textId="42DC219A" w:rsidR="00221480" w:rsidRDefault="00CE296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Alderbury Picnic in the Park</w:t>
            </w:r>
            <w:r w:rsidR="00777469">
              <w:rPr>
                <w:sz w:val="20"/>
                <w:szCs w:val="20"/>
              </w:rPr>
              <w:t xml:space="preserve"> in partnership with Salisbury Live.</w:t>
            </w:r>
          </w:p>
        </w:tc>
      </w:tr>
      <w:tr w:rsidR="00CA2C39" w14:paraId="7B632510" w14:textId="77777777">
        <w:trPr>
          <w:trHeight w:val="16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020A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10FE1712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D46B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532D06A1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Name,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Address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Status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Contact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01C7" w14:textId="0A0F66E1" w:rsidR="004D5D21" w:rsidRDefault="004D5D2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Sandra Wallace </w:t>
            </w:r>
            <w:r w:rsidR="004D4593">
              <w:rPr>
                <w:sz w:val="20"/>
                <w:szCs w:val="20"/>
              </w:rPr>
              <w:t xml:space="preserve"> </w:t>
            </w:r>
          </w:p>
          <w:p w14:paraId="3B6BAC3E" w14:textId="77777777" w:rsidR="004D5D21" w:rsidRDefault="004D5D2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Spider Island</w:t>
            </w:r>
          </w:p>
          <w:p w14:paraId="226EF440" w14:textId="77777777" w:rsidR="004D5D21" w:rsidRDefault="004D5D2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Whaddon</w:t>
            </w:r>
          </w:p>
          <w:p w14:paraId="01642EC6" w14:textId="6CDB9571" w:rsidR="004D5D21" w:rsidRDefault="004D5D2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SP5 3BG</w:t>
            </w:r>
          </w:p>
        </w:tc>
      </w:tr>
      <w:tr w:rsidR="00CA2C39" w14:paraId="383FE5E1" w14:textId="77777777">
        <w:trPr>
          <w:trHeight w:val="6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CD6D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6582A24A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ECF6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08C791C8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Contact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5529" w14:textId="298DC2F6" w:rsidR="00221480" w:rsidRDefault="004D5D2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07774094510</w:t>
            </w:r>
          </w:p>
        </w:tc>
      </w:tr>
      <w:tr w:rsidR="00CA2C39" w14:paraId="2D52AFAE" w14:textId="77777777">
        <w:trPr>
          <w:trHeight w:val="6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B671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13FDCE64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94CB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57CFE7A4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Organisation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Registered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Charity?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6BBF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5190712D" w14:textId="18A601DE" w:rsidR="00221480" w:rsidRDefault="00221480">
            <w:pPr>
              <w:pStyle w:val="TableParagraph"/>
              <w:kinsoku w:val="0"/>
              <w:overflowPunct w:val="0"/>
              <w:ind w:left="108"/>
              <w:rPr>
                <w:spacing w:val="-2"/>
                <w:sz w:val="20"/>
                <w:szCs w:val="20"/>
              </w:rPr>
            </w:pPr>
            <w:bookmarkStart w:id="1" w:name="Yes/No"/>
            <w:bookmarkEnd w:id="1"/>
            <w:r>
              <w:rPr>
                <w:spacing w:val="-2"/>
                <w:sz w:val="20"/>
                <w:szCs w:val="20"/>
              </w:rPr>
              <w:t>No</w:t>
            </w:r>
          </w:p>
        </w:tc>
      </w:tr>
      <w:tr w:rsidR="00CA2C39" w14:paraId="558A8578" w14:textId="77777777">
        <w:trPr>
          <w:trHeight w:val="6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201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6CFE9840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D1EC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3F39428C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requested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B96C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20681F6E" w14:textId="4C940DB9" w:rsidR="00221480" w:rsidRDefault="00221480">
            <w:pPr>
              <w:pStyle w:val="TableParagraph"/>
              <w:kinsoku w:val="0"/>
              <w:overflowPunct w:val="0"/>
              <w:ind w:left="108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£</w:t>
            </w:r>
            <w:r w:rsidR="00777469">
              <w:rPr>
                <w:w w:val="99"/>
                <w:sz w:val="20"/>
                <w:szCs w:val="20"/>
              </w:rPr>
              <w:t>250</w:t>
            </w:r>
            <w:r w:rsidR="00CE2961">
              <w:rPr>
                <w:w w:val="99"/>
                <w:sz w:val="20"/>
                <w:szCs w:val="20"/>
              </w:rPr>
              <w:t>0</w:t>
            </w:r>
          </w:p>
        </w:tc>
      </w:tr>
      <w:tr w:rsidR="00CA2C39" w14:paraId="5619F36B" w14:textId="77777777">
        <w:trPr>
          <w:trHeight w:val="16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2383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3172270A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8B4B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43FC7BDC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For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what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purpose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grant </w:t>
            </w:r>
            <w:r>
              <w:rPr>
                <w:spacing w:val="-2"/>
                <w:sz w:val="20"/>
                <w:szCs w:val="20"/>
              </w:rPr>
              <w:t>requested?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62CA" w14:textId="745BCF38" w:rsidR="00221480" w:rsidRDefault="00CE296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the past few years, pi</w:t>
            </w:r>
            <w:r w:rsidR="004138FA">
              <w:rPr>
                <w:sz w:val="20"/>
                <w:szCs w:val="20"/>
              </w:rPr>
              <w:t>cnic</w:t>
            </w:r>
            <w:r>
              <w:rPr>
                <w:sz w:val="20"/>
                <w:szCs w:val="20"/>
              </w:rPr>
              <w:t xml:space="preserve"> in the park has run as a free event </w:t>
            </w:r>
            <w:r w:rsidR="004138FA">
              <w:rPr>
                <w:sz w:val="20"/>
                <w:szCs w:val="20"/>
              </w:rPr>
              <w:t xml:space="preserve">with the aim </w:t>
            </w:r>
            <w:r>
              <w:rPr>
                <w:sz w:val="20"/>
                <w:szCs w:val="20"/>
              </w:rPr>
              <w:t xml:space="preserve">to bring </w:t>
            </w:r>
            <w:r w:rsidR="004138FA">
              <w:rPr>
                <w:sz w:val="20"/>
                <w:szCs w:val="20"/>
              </w:rPr>
              <w:t xml:space="preserve">together </w:t>
            </w:r>
            <w:r>
              <w:rPr>
                <w:sz w:val="20"/>
                <w:szCs w:val="20"/>
              </w:rPr>
              <w:t xml:space="preserve">the community of Alderbury and Whaddon. It </w:t>
            </w:r>
            <w:r w:rsidR="004138FA">
              <w:rPr>
                <w:sz w:val="20"/>
                <w:szCs w:val="20"/>
              </w:rPr>
              <w:t>has grown over the past few years and</w:t>
            </w:r>
            <w:r>
              <w:rPr>
                <w:sz w:val="20"/>
                <w:szCs w:val="20"/>
              </w:rPr>
              <w:t xml:space="preserve"> has activities for all of the family as well as an opportunity for local individuals to promote their activities such as the Alderbury Clothing Exchange</w:t>
            </w:r>
            <w:r w:rsidR="004138FA">
              <w:rPr>
                <w:sz w:val="20"/>
                <w:szCs w:val="20"/>
              </w:rPr>
              <w:t>, local craft sellers</w:t>
            </w:r>
            <w:r>
              <w:rPr>
                <w:sz w:val="20"/>
                <w:szCs w:val="20"/>
              </w:rPr>
              <w:t xml:space="preserve"> </w:t>
            </w:r>
            <w:r w:rsidR="004138FA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the Wildlife Friendly Alderbury initiative.</w:t>
            </w:r>
          </w:p>
          <w:p w14:paraId="2365BDEA" w14:textId="77777777" w:rsidR="004138FA" w:rsidRDefault="004138F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1C921C" w14:textId="7A9FCB04" w:rsidR="00CE2961" w:rsidRDefault="00CE296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event, </w:t>
            </w:r>
            <w:r w:rsidR="004138FA">
              <w:rPr>
                <w:sz w:val="20"/>
                <w:szCs w:val="20"/>
              </w:rPr>
              <w:t xml:space="preserve">as </w:t>
            </w:r>
            <w:r>
              <w:rPr>
                <w:sz w:val="20"/>
                <w:szCs w:val="20"/>
              </w:rPr>
              <w:t xml:space="preserve">initially conceived relied </w:t>
            </w:r>
            <w:r w:rsidR="004138FA">
              <w:rPr>
                <w:sz w:val="20"/>
                <w:szCs w:val="20"/>
              </w:rPr>
              <w:t>heavily</w:t>
            </w:r>
            <w:r>
              <w:rPr>
                <w:sz w:val="20"/>
                <w:szCs w:val="20"/>
              </w:rPr>
              <w:t xml:space="preserve"> o</w:t>
            </w:r>
            <w:r w:rsidR="004138FA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goodwill and either</w:t>
            </w:r>
            <w:r w:rsidR="004138FA">
              <w:rPr>
                <w:sz w:val="20"/>
                <w:szCs w:val="20"/>
              </w:rPr>
              <w:t xml:space="preserve"> donations either </w:t>
            </w:r>
            <w:r>
              <w:rPr>
                <w:sz w:val="20"/>
                <w:szCs w:val="20"/>
              </w:rPr>
              <w:t>financial or in kind</w:t>
            </w:r>
            <w:r w:rsidR="00777469">
              <w:rPr>
                <w:sz w:val="20"/>
                <w:szCs w:val="20"/>
              </w:rPr>
              <w:t>. Even with the grant to Salisbury live of £1500 last year, they made a loss on the event in 2022. The headline act alone is likely to start at £600 before the hire of stand, sound equipment and staff are taken into account</w:t>
            </w:r>
            <w:r>
              <w:rPr>
                <w:sz w:val="20"/>
                <w:szCs w:val="20"/>
              </w:rPr>
              <w:t xml:space="preserve">. </w:t>
            </w:r>
            <w:r w:rsidR="00777469">
              <w:rPr>
                <w:sz w:val="20"/>
                <w:szCs w:val="20"/>
              </w:rPr>
              <w:t>This is clearly not sustainable and also a</w:t>
            </w:r>
            <w:r>
              <w:rPr>
                <w:sz w:val="20"/>
                <w:szCs w:val="20"/>
              </w:rPr>
              <w:t>s the event has grown</w:t>
            </w:r>
            <w:r w:rsidR="007774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there are new additional costs </w:t>
            </w:r>
            <w:r w:rsidR="00777469">
              <w:rPr>
                <w:sz w:val="20"/>
                <w:szCs w:val="20"/>
              </w:rPr>
              <w:t xml:space="preserve">likely to exceed £1500 </w:t>
            </w:r>
            <w:r>
              <w:rPr>
                <w:sz w:val="20"/>
                <w:szCs w:val="20"/>
              </w:rPr>
              <w:t xml:space="preserve">such as </w:t>
            </w:r>
            <w:r w:rsidR="004D4593">
              <w:rPr>
                <w:sz w:val="20"/>
                <w:szCs w:val="20"/>
              </w:rPr>
              <w:t>security,</w:t>
            </w:r>
            <w:r w:rsidR="004138FA">
              <w:rPr>
                <w:sz w:val="20"/>
                <w:szCs w:val="20"/>
              </w:rPr>
              <w:t xml:space="preserve"> </w:t>
            </w:r>
            <w:proofErr w:type="spellStart"/>
            <w:r w:rsidR="004138FA">
              <w:rPr>
                <w:sz w:val="20"/>
                <w:szCs w:val="20"/>
              </w:rPr>
              <w:t>portaloos</w:t>
            </w:r>
            <w:proofErr w:type="spellEnd"/>
            <w:r w:rsidR="004138FA">
              <w:rPr>
                <w:sz w:val="20"/>
                <w:szCs w:val="20"/>
              </w:rPr>
              <w:t>, waste disposal costs</w:t>
            </w:r>
            <w:r w:rsidR="00777469">
              <w:rPr>
                <w:sz w:val="20"/>
                <w:szCs w:val="20"/>
              </w:rPr>
              <w:t>, village hall hire</w:t>
            </w:r>
            <w:r w:rsidR="004138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first aid.</w:t>
            </w:r>
            <w:r w:rsidR="004D5D21">
              <w:rPr>
                <w:sz w:val="20"/>
                <w:szCs w:val="20"/>
              </w:rPr>
              <w:t xml:space="preserve"> In response to this</w:t>
            </w:r>
            <w:r w:rsidR="00777469">
              <w:rPr>
                <w:sz w:val="20"/>
                <w:szCs w:val="20"/>
              </w:rPr>
              <w:t xml:space="preserve"> challenge,</w:t>
            </w:r>
            <w:r w:rsidR="004D5D21">
              <w:rPr>
                <w:sz w:val="20"/>
                <w:szCs w:val="20"/>
              </w:rPr>
              <w:t xml:space="preserve"> a formal working group and committee have been formed and a bank account has been created</w:t>
            </w:r>
            <w:r w:rsidR="00777469">
              <w:rPr>
                <w:sz w:val="20"/>
                <w:szCs w:val="20"/>
              </w:rPr>
              <w:t xml:space="preserve"> to manage the event, its planning and fund raising</w:t>
            </w:r>
            <w:r w:rsidR="004D5D21">
              <w:rPr>
                <w:sz w:val="20"/>
                <w:szCs w:val="20"/>
              </w:rPr>
              <w:t>.</w:t>
            </w:r>
          </w:p>
          <w:p w14:paraId="1F843FA9" w14:textId="77777777" w:rsidR="00CE2961" w:rsidRDefault="00CE296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7E82784" w14:textId="27AC4798" w:rsidR="00CE2961" w:rsidRDefault="00CE296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believe this to be the only large free event for local residents and the many hundreds of individuals and families </w:t>
            </w:r>
            <w:r w:rsidR="004138FA">
              <w:rPr>
                <w:sz w:val="20"/>
                <w:szCs w:val="20"/>
              </w:rPr>
              <w:t>of all ages that</w:t>
            </w:r>
            <w:r>
              <w:rPr>
                <w:sz w:val="20"/>
                <w:szCs w:val="20"/>
              </w:rPr>
              <w:t xml:space="preserve"> have attended the </w:t>
            </w:r>
            <w:r w:rsidR="004D4593">
              <w:rPr>
                <w:sz w:val="20"/>
                <w:szCs w:val="20"/>
              </w:rPr>
              <w:t>all-day</w:t>
            </w:r>
            <w:r>
              <w:rPr>
                <w:sz w:val="20"/>
                <w:szCs w:val="20"/>
              </w:rPr>
              <w:t xml:space="preserve"> event is testament to the high regard and </w:t>
            </w:r>
            <w:r w:rsidR="004138FA">
              <w:rPr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that the community places on the </w:t>
            </w:r>
            <w:r w:rsidR="004138FA">
              <w:rPr>
                <w:sz w:val="20"/>
                <w:szCs w:val="20"/>
              </w:rPr>
              <w:t xml:space="preserve">annual </w:t>
            </w:r>
            <w:r>
              <w:rPr>
                <w:sz w:val="20"/>
                <w:szCs w:val="20"/>
              </w:rPr>
              <w:t>event.</w:t>
            </w:r>
          </w:p>
          <w:p w14:paraId="0C1531F0" w14:textId="77777777" w:rsidR="001D05C6" w:rsidRDefault="001D05C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57BEAF4" w14:textId="0B9BE66A" w:rsidR="001D05C6" w:rsidRDefault="001D05C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gratefully received support</w:t>
            </w:r>
            <w:r w:rsidR="00777469">
              <w:rPr>
                <w:sz w:val="20"/>
                <w:szCs w:val="20"/>
              </w:rPr>
              <w:t xml:space="preserve"> in the past</w:t>
            </w:r>
            <w:r>
              <w:rPr>
                <w:sz w:val="20"/>
                <w:szCs w:val="20"/>
              </w:rPr>
              <w:t xml:space="preserve"> from A</w:t>
            </w:r>
            <w:r w:rsidR="004138FA">
              <w:rPr>
                <w:sz w:val="20"/>
                <w:szCs w:val="20"/>
              </w:rPr>
              <w:t>lderbury Parish Council</w:t>
            </w:r>
            <w:r>
              <w:rPr>
                <w:sz w:val="20"/>
                <w:szCs w:val="20"/>
              </w:rPr>
              <w:t xml:space="preserve">, Alderbury Sports &amp; Social Club and </w:t>
            </w:r>
            <w:r w:rsidR="004138FA">
              <w:rPr>
                <w:sz w:val="20"/>
                <w:szCs w:val="20"/>
              </w:rPr>
              <w:t>Salisbury</w:t>
            </w:r>
            <w:r>
              <w:rPr>
                <w:sz w:val="20"/>
                <w:szCs w:val="20"/>
              </w:rPr>
              <w:t xml:space="preserve"> live</w:t>
            </w:r>
            <w:r w:rsidR="00777469">
              <w:rPr>
                <w:sz w:val="20"/>
                <w:szCs w:val="20"/>
              </w:rPr>
              <w:t xml:space="preserve"> (who </w:t>
            </w:r>
            <w:r w:rsidR="004D4593">
              <w:rPr>
                <w:sz w:val="20"/>
                <w:szCs w:val="20"/>
              </w:rPr>
              <w:t>received</w:t>
            </w:r>
            <w:r w:rsidR="00777469">
              <w:rPr>
                <w:sz w:val="20"/>
                <w:szCs w:val="20"/>
              </w:rPr>
              <w:t xml:space="preserve"> £1500 last year from APC)</w:t>
            </w:r>
            <w:r>
              <w:rPr>
                <w:sz w:val="20"/>
                <w:szCs w:val="20"/>
              </w:rPr>
              <w:t xml:space="preserve"> as </w:t>
            </w:r>
            <w:r w:rsidR="00777469">
              <w:rPr>
                <w:sz w:val="20"/>
                <w:szCs w:val="20"/>
              </w:rPr>
              <w:t xml:space="preserve">well as generous </w:t>
            </w:r>
            <w:r>
              <w:rPr>
                <w:sz w:val="20"/>
                <w:szCs w:val="20"/>
              </w:rPr>
              <w:t>donations from individuals</w:t>
            </w:r>
            <w:r w:rsidR="007774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but costs are such </w:t>
            </w:r>
            <w:r w:rsidR="004138FA">
              <w:rPr>
                <w:sz w:val="20"/>
                <w:szCs w:val="20"/>
              </w:rPr>
              <w:t>that</w:t>
            </w:r>
            <w:r>
              <w:rPr>
                <w:sz w:val="20"/>
                <w:szCs w:val="20"/>
              </w:rPr>
              <w:t xml:space="preserve"> </w:t>
            </w:r>
            <w:r w:rsidR="004138FA">
              <w:rPr>
                <w:sz w:val="20"/>
                <w:szCs w:val="20"/>
              </w:rPr>
              <w:t xml:space="preserve">additional </w:t>
            </w:r>
            <w:r>
              <w:rPr>
                <w:sz w:val="20"/>
                <w:szCs w:val="20"/>
              </w:rPr>
              <w:t xml:space="preserve">sources of support are necessary to </w:t>
            </w:r>
            <w:r w:rsidR="004138FA">
              <w:rPr>
                <w:sz w:val="20"/>
                <w:szCs w:val="20"/>
              </w:rPr>
              <w:t>cover</w:t>
            </w:r>
            <w:r>
              <w:rPr>
                <w:sz w:val="20"/>
                <w:szCs w:val="20"/>
              </w:rPr>
              <w:t xml:space="preserve"> for costs</w:t>
            </w:r>
            <w:r w:rsidR="00777469">
              <w:rPr>
                <w:sz w:val="20"/>
                <w:szCs w:val="20"/>
              </w:rPr>
              <w:t>.</w:t>
            </w:r>
          </w:p>
          <w:p w14:paraId="482888EE" w14:textId="758584AE" w:rsidR="001D05C6" w:rsidRDefault="001D05C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CA2C39" w14:paraId="404D7E6B" w14:textId="77777777">
        <w:trPr>
          <w:trHeight w:val="9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2B5C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4E3839F1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C45E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3761209E" w14:textId="77777777" w:rsidR="00221480" w:rsidRDefault="00221480">
            <w:pPr>
              <w:pStyle w:val="TableParagraph"/>
              <w:kinsoku w:val="0"/>
              <w:overflowPunct w:val="0"/>
              <w:ind w:left="105" w:right="13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What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total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cost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above </w:t>
            </w:r>
            <w:r>
              <w:rPr>
                <w:spacing w:val="-2"/>
                <w:sz w:val="20"/>
                <w:szCs w:val="20"/>
              </w:rPr>
              <w:t>project?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1867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710DFA70" w14:textId="6E5E1192" w:rsidR="00221480" w:rsidRDefault="00221480">
            <w:pPr>
              <w:pStyle w:val="TableParagraph"/>
              <w:kinsoku w:val="0"/>
              <w:overflowPunct w:val="0"/>
              <w:ind w:left="108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£</w:t>
            </w:r>
            <w:r w:rsidR="00777469">
              <w:rPr>
                <w:w w:val="99"/>
                <w:sz w:val="20"/>
                <w:szCs w:val="20"/>
              </w:rPr>
              <w:t>4</w:t>
            </w:r>
            <w:r w:rsidR="001D05C6">
              <w:rPr>
                <w:w w:val="99"/>
                <w:sz w:val="20"/>
                <w:szCs w:val="20"/>
              </w:rPr>
              <w:t>000</w:t>
            </w:r>
          </w:p>
        </w:tc>
      </w:tr>
      <w:tr w:rsidR="00CA2C39" w14:paraId="342C7B05" w14:textId="77777777">
        <w:trPr>
          <w:trHeight w:val="9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9FB7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71B72F4E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BF0C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3413DEA4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total cost of the project is more than the grant, how will the residue be financed?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4A7" w14:textId="49856CA9" w:rsidR="00221480" w:rsidRDefault="001D05C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cost of the grant will cover approximately </w:t>
            </w:r>
            <w:r w:rsidR="0077746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0% of the costs, we have already raised approximately |£500 </w:t>
            </w:r>
            <w:r w:rsidR="004138FA">
              <w:rPr>
                <w:sz w:val="20"/>
                <w:szCs w:val="20"/>
              </w:rPr>
              <w:t xml:space="preserve">through donations </w:t>
            </w:r>
            <w:r>
              <w:rPr>
                <w:sz w:val="20"/>
                <w:szCs w:val="20"/>
              </w:rPr>
              <w:t xml:space="preserve">and </w:t>
            </w:r>
            <w:r w:rsidR="004138FA">
              <w:rPr>
                <w:sz w:val="20"/>
                <w:szCs w:val="20"/>
              </w:rPr>
              <w:t xml:space="preserve">the committee </w:t>
            </w:r>
            <w:r>
              <w:rPr>
                <w:sz w:val="20"/>
                <w:szCs w:val="20"/>
              </w:rPr>
              <w:t xml:space="preserve">will be running </w:t>
            </w:r>
            <w:r w:rsidR="004138FA">
              <w:rPr>
                <w:sz w:val="20"/>
                <w:szCs w:val="20"/>
              </w:rPr>
              <w:t>raffles, setting up a JustGiving</w:t>
            </w:r>
            <w:r>
              <w:rPr>
                <w:sz w:val="20"/>
                <w:szCs w:val="20"/>
              </w:rPr>
              <w:t xml:space="preserve"> page and </w:t>
            </w:r>
            <w:r w:rsidR="004138FA">
              <w:rPr>
                <w:sz w:val="20"/>
                <w:szCs w:val="20"/>
              </w:rPr>
              <w:t xml:space="preserve">arranging </w:t>
            </w:r>
            <w:r>
              <w:rPr>
                <w:sz w:val="20"/>
                <w:szCs w:val="20"/>
              </w:rPr>
              <w:t>social events in the upcoming months to raise the fina</w:t>
            </w:r>
            <w:r w:rsidR="004138FA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£1000</w:t>
            </w:r>
            <w:r w:rsidR="00777469">
              <w:rPr>
                <w:sz w:val="20"/>
                <w:szCs w:val="20"/>
              </w:rPr>
              <w:t xml:space="preserve"> assuming that this grant is awarded in full</w:t>
            </w:r>
            <w:r>
              <w:rPr>
                <w:sz w:val="20"/>
                <w:szCs w:val="20"/>
              </w:rPr>
              <w:t>.</w:t>
            </w:r>
            <w:r w:rsidR="004138FA">
              <w:rPr>
                <w:sz w:val="20"/>
                <w:szCs w:val="20"/>
              </w:rPr>
              <w:t xml:space="preserve"> </w:t>
            </w:r>
          </w:p>
        </w:tc>
      </w:tr>
      <w:tr w:rsidR="00CA2C39" w14:paraId="7A00AB30" w14:textId="77777777">
        <w:trPr>
          <w:trHeight w:val="13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E80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07685C9F" w14:textId="77777777" w:rsidR="00221480" w:rsidRDefault="00221480">
            <w:pPr>
              <w:pStyle w:val="TableParagraph"/>
              <w:kinsoku w:val="0"/>
              <w:overflowPunct w:val="0"/>
              <w:spacing w:before="1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E440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620256B2" w14:textId="77777777" w:rsidR="00221480" w:rsidRDefault="00221480">
            <w:pPr>
              <w:pStyle w:val="TableParagraph"/>
              <w:kinsoku w:val="0"/>
              <w:overflowPunct w:val="0"/>
              <w:spacing w:before="1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applied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grant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project to another organisation?</w:t>
            </w:r>
          </w:p>
          <w:p w14:paraId="0EC4D6A4" w14:textId="77777777" w:rsidR="00221480" w:rsidRDefault="00221480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</w:rPr>
            </w:pPr>
          </w:p>
          <w:p w14:paraId="306AFB3D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If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which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organisation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how</w:t>
            </w:r>
            <w:r>
              <w:rPr>
                <w:spacing w:val="-4"/>
                <w:sz w:val="20"/>
                <w:szCs w:val="20"/>
              </w:rPr>
              <w:t xml:space="preserve"> much?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2CB4" w14:textId="18685678" w:rsidR="00221480" w:rsidRDefault="00CE2961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  <w:r w:rsidR="00777469">
              <w:rPr>
                <w:sz w:val="20"/>
                <w:szCs w:val="20"/>
              </w:rPr>
              <w:t>, Salisbury live has applied in the past and will not be seeking further support from the local community apart from this joint application.</w:t>
            </w:r>
          </w:p>
        </w:tc>
      </w:tr>
      <w:tr w:rsidR="00CA2C39" w14:paraId="30920215" w14:textId="77777777">
        <w:trPr>
          <w:trHeight w:val="6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3A51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4B2DDBDD" w14:textId="77777777" w:rsidR="00221480" w:rsidRDefault="00221480">
            <w:pPr>
              <w:pStyle w:val="TableParagraph"/>
              <w:kinsoku w:val="0"/>
              <w:overflowPunct w:val="0"/>
              <w:spacing w:before="1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8E18" w14:textId="77777777" w:rsidR="00221480" w:rsidRDefault="00221480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9"/>
                <w:szCs w:val="19"/>
              </w:rPr>
            </w:pPr>
          </w:p>
          <w:p w14:paraId="154FFC46" w14:textId="77777777" w:rsidR="00221480" w:rsidRDefault="00221480">
            <w:pPr>
              <w:pStyle w:val="TableParagraph"/>
              <w:kinsoku w:val="0"/>
              <w:overflowPunct w:val="0"/>
              <w:spacing w:before="1"/>
              <w:ind w:left="10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Who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benefit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from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project?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FFA3" w14:textId="77777777" w:rsidR="00210969" w:rsidRDefault="001D05C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Several hundred individuals and their </w:t>
            </w:r>
            <w:r w:rsidR="00210969">
              <w:rPr>
                <w:sz w:val="20"/>
                <w:szCs w:val="20"/>
              </w:rPr>
              <w:t>families</w:t>
            </w:r>
            <w:r>
              <w:rPr>
                <w:sz w:val="20"/>
                <w:szCs w:val="20"/>
              </w:rPr>
              <w:t xml:space="preserve"> within </w:t>
            </w:r>
            <w:r w:rsidR="00210969">
              <w:rPr>
                <w:sz w:val="20"/>
                <w:szCs w:val="20"/>
              </w:rPr>
              <w:t>Alderbury</w:t>
            </w:r>
            <w:r>
              <w:rPr>
                <w:sz w:val="20"/>
                <w:szCs w:val="20"/>
              </w:rPr>
              <w:t xml:space="preserve"> and Whaddon. </w:t>
            </w:r>
            <w:r w:rsidR="00210969">
              <w:rPr>
                <w:sz w:val="20"/>
                <w:szCs w:val="20"/>
              </w:rPr>
              <w:t>Most member of the Alderbury Parish Council attended the event and can verify the popularity of the event.</w:t>
            </w:r>
          </w:p>
          <w:p w14:paraId="74D65DA4" w14:textId="77777777" w:rsidR="00210969" w:rsidRDefault="0021096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88DBCD5" w14:textId="06384612" w:rsidR="00221480" w:rsidRDefault="001D05C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a </w:t>
            </w:r>
            <w:r w:rsidR="004D4593">
              <w:rPr>
                <w:sz w:val="20"/>
                <w:szCs w:val="20"/>
              </w:rPr>
              <w:t>free event</w:t>
            </w:r>
            <w:r>
              <w:rPr>
                <w:sz w:val="20"/>
                <w:szCs w:val="20"/>
              </w:rPr>
              <w:t xml:space="preserve"> with something for everyone and widely supported</w:t>
            </w:r>
          </w:p>
        </w:tc>
      </w:tr>
      <w:tr w:rsidR="00CA2C39" w14:paraId="0F18E7B8" w14:textId="77777777">
        <w:trPr>
          <w:trHeight w:val="9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BD23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3C72DBEE" w14:textId="77777777" w:rsidR="00221480" w:rsidRDefault="00221480">
            <w:pPr>
              <w:pStyle w:val="TableParagraph"/>
              <w:kinsoku w:val="0"/>
              <w:overflowPunct w:val="0"/>
              <w:ind w:left="10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08D0" w14:textId="77777777" w:rsidR="00221480" w:rsidRDefault="00221480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14:paraId="549AD4C0" w14:textId="77777777" w:rsidR="00221480" w:rsidRDefault="00221480">
            <w:pPr>
              <w:pStyle w:val="TableParagraph"/>
              <w:kinsoku w:val="0"/>
              <w:overflowPunct w:val="0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Approximately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how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many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those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will benefit are parishioners?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A4A3" w14:textId="62C80171" w:rsidR="00221480" w:rsidRDefault="001D05C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believe that all or the vast majority of those who benefit are </w:t>
            </w:r>
            <w:r w:rsidR="00210969">
              <w:rPr>
                <w:sz w:val="20"/>
                <w:szCs w:val="20"/>
              </w:rPr>
              <w:t>parishioners</w:t>
            </w:r>
            <w:r>
              <w:rPr>
                <w:sz w:val="20"/>
                <w:szCs w:val="20"/>
              </w:rPr>
              <w:t>.</w:t>
            </w:r>
            <w:r w:rsidR="00210969">
              <w:rPr>
                <w:sz w:val="20"/>
                <w:szCs w:val="20"/>
              </w:rPr>
              <w:t xml:space="preserve"> </w:t>
            </w:r>
          </w:p>
        </w:tc>
      </w:tr>
    </w:tbl>
    <w:p w14:paraId="497E43E7" w14:textId="77777777" w:rsidR="00221480" w:rsidRDefault="00221480">
      <w:pPr>
        <w:pStyle w:val="BodyText"/>
        <w:kinsoku w:val="0"/>
        <w:overflowPunct w:val="0"/>
        <w:spacing w:before="5"/>
      </w:pPr>
    </w:p>
    <w:p w14:paraId="0BFFC864" w14:textId="77777777" w:rsidR="00221480" w:rsidRDefault="00221480">
      <w:pPr>
        <w:pStyle w:val="BodyText"/>
        <w:kinsoku w:val="0"/>
        <w:overflowPunct w:val="0"/>
        <w:ind w:left="217" w:right="511"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>You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may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use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a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separate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sheet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of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paper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to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submit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any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other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information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which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you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feel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will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support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this </w:t>
      </w:r>
      <w:r>
        <w:rPr>
          <w:b w:val="0"/>
          <w:bCs w:val="0"/>
          <w:spacing w:val="-2"/>
        </w:rPr>
        <w:t>application.</w:t>
      </w:r>
    </w:p>
    <w:p w14:paraId="6EB76523" w14:textId="77777777" w:rsidR="00221480" w:rsidRDefault="00221480">
      <w:pPr>
        <w:pStyle w:val="BodyText"/>
        <w:kinsoku w:val="0"/>
        <w:overflowPunct w:val="0"/>
        <w:rPr>
          <w:b w:val="0"/>
          <w:bCs w:val="0"/>
          <w:sz w:val="22"/>
          <w:szCs w:val="22"/>
        </w:rPr>
      </w:pPr>
    </w:p>
    <w:p w14:paraId="0CAFF47E" w14:textId="77777777" w:rsidR="00221480" w:rsidRDefault="00221480">
      <w:pPr>
        <w:pStyle w:val="BodyText"/>
        <w:kinsoku w:val="0"/>
        <w:overflowPunct w:val="0"/>
        <w:rPr>
          <w:b w:val="0"/>
          <w:bCs w:val="0"/>
          <w:sz w:val="18"/>
          <w:szCs w:val="18"/>
        </w:rPr>
      </w:pPr>
    </w:p>
    <w:p w14:paraId="731194E1" w14:textId="77777777" w:rsidR="004D4593" w:rsidRDefault="00221480">
      <w:pPr>
        <w:pStyle w:val="BodyText"/>
        <w:kinsoku w:val="0"/>
        <w:overflowPunct w:val="0"/>
        <w:ind w:left="217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Signed………</w:t>
      </w:r>
      <w:r w:rsidR="004D4593">
        <w:rPr>
          <w:b w:val="0"/>
          <w:bCs w:val="0"/>
          <w:spacing w:val="-2"/>
        </w:rPr>
        <w:pict w14:anchorId="62611B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45.75pt">
            <v:imagedata r:id="rId4" o:title="DmSig"/>
          </v:shape>
        </w:pict>
      </w:r>
      <w:r>
        <w:rPr>
          <w:b w:val="0"/>
          <w:bCs w:val="0"/>
          <w:spacing w:val="-2"/>
        </w:rPr>
        <w:t>……</w:t>
      </w:r>
    </w:p>
    <w:p w14:paraId="55433427" w14:textId="29EC8E08" w:rsidR="00221480" w:rsidRDefault="004D4593">
      <w:pPr>
        <w:pStyle w:val="BodyText"/>
        <w:kinsoku w:val="0"/>
        <w:overflowPunct w:val="0"/>
        <w:ind w:left="217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Dr Darren Mernagh (Treasurer, Alderbury Picnic in the Park)</w:t>
      </w:r>
      <w:r w:rsidR="00221480">
        <w:rPr>
          <w:b w:val="0"/>
          <w:bCs w:val="0"/>
          <w:spacing w:val="-2"/>
        </w:rPr>
        <w:t>……………………….Date…</w:t>
      </w:r>
      <w:r>
        <w:rPr>
          <w:b w:val="0"/>
          <w:bCs w:val="0"/>
          <w:spacing w:val="-2"/>
        </w:rPr>
        <w:t>20/11/23</w:t>
      </w:r>
      <w:r w:rsidR="00221480">
        <w:rPr>
          <w:b w:val="0"/>
          <w:bCs w:val="0"/>
          <w:spacing w:val="-2"/>
        </w:rPr>
        <w:t>……</w:t>
      </w:r>
    </w:p>
    <w:sectPr w:rsidR="00221480">
      <w:type w:val="continuous"/>
      <w:pgSz w:w="11910" w:h="16840"/>
      <w:pgMar w:top="760" w:right="1340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E2961"/>
    <w:rsid w:val="001D05C6"/>
    <w:rsid w:val="00210969"/>
    <w:rsid w:val="00221480"/>
    <w:rsid w:val="004138FA"/>
    <w:rsid w:val="004D4593"/>
    <w:rsid w:val="004D5D21"/>
    <w:rsid w:val="00777469"/>
    <w:rsid w:val="00CA2C39"/>
    <w:rsid w:val="00C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C9F90"/>
  <w14:defaultImageDpi w14:val="0"/>
  <w15:docId w15:val="{717C81FE-B41D-4D72-93E4-2638FB90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3"/>
      <w:ind w:left="1755" w:right="199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WHITWELL PARISH COUNCIL</vt:lpstr>
    </vt:vector>
  </TitlesOfParts>
  <Company>Whitwell Parish Council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WHITWELL PARISH COUNCIL</dc:title>
  <dc:subject/>
  <dc:creator>Barrie Woodcock.</dc:creator>
  <cp:keywords/>
  <dc:description/>
  <cp:lastModifiedBy>Darren Mernagh</cp:lastModifiedBy>
  <cp:revision>4</cp:revision>
  <dcterms:created xsi:type="dcterms:W3CDTF">2023-11-19T12:26:00Z</dcterms:created>
  <dcterms:modified xsi:type="dcterms:W3CDTF">2023-11-20T08:23:00Z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Producer">
    <vt:lpwstr>Adobe PDF Library 15.0</vt:lpwstr>
  </property>
  <property fmtid="{D5CDD505-2E9C-101B-9397-08002B2CF9AE}" pid="4" name="SourceModified">
    <vt:lpwstr>D:20201113091817</vt:lpwstr>
  </property>
</Properties>
</file>